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hint="eastAsia" w:eastAsia="Arial Unicode MS"/>
          <w:sz w:val="84"/>
          <w:szCs w:val="84"/>
        </w:rPr>
        <w:t>询价文件</w:t>
      </w:r>
    </w:p>
    <w:p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snapToGrid w:val="0"/>
        <w:ind w:left="1400" w:leftChars="500"/>
        <w:outlineLvl w:val="0"/>
        <w:rPr>
          <w:rFonts w:eastAsia="方正大标宋简体"/>
          <w:sz w:val="96"/>
          <w:szCs w:val="130"/>
          <w:u w:val="single"/>
        </w:rPr>
      </w:pPr>
      <w:r>
        <w:rPr>
          <w:rFonts w:hint="eastAsia" w:eastAsia="Arial Unicode MS"/>
          <w:sz w:val="44"/>
          <w:szCs w:val="44"/>
        </w:rPr>
        <w:t>项目名称：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出口日志升级   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</w:t>
      </w:r>
    </w:p>
    <w:p>
      <w:pPr>
        <w:pStyle w:val="11"/>
        <w:snapToGrid w:val="0"/>
        <w:spacing w:line="240" w:lineRule="auto"/>
        <w:ind w:leftChars="343" w:firstLine="1540" w:firstLineChars="350"/>
        <w:outlineLvl w:val="0"/>
        <w:rPr>
          <w:rFonts w:eastAsia="Arial Unicode MS"/>
          <w:szCs w:val="44"/>
        </w:rPr>
      </w:pPr>
    </w:p>
    <w:p>
      <w:pPr>
        <w:snapToGrid w:val="0"/>
        <w:ind w:left="1400" w:leftChars="500"/>
        <w:outlineLvl w:val="0"/>
        <w:rPr>
          <w:rFonts w:hint="default" w:eastAsia="仿宋_GB2312"/>
          <w:sz w:val="96"/>
          <w:szCs w:val="130"/>
          <w:lang w:val="en-US" w:eastAsia="zh-CN"/>
        </w:rPr>
      </w:pPr>
      <w:r>
        <w:rPr>
          <w:rFonts w:hint="eastAsia" w:eastAsia="Arial Unicode MS"/>
          <w:sz w:val="44"/>
          <w:szCs w:val="44"/>
        </w:rPr>
        <w:t>采购单位：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>陆军军医大学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某单位    </w:t>
      </w:r>
    </w:p>
    <w:p>
      <w:pPr>
        <w:snapToGrid w:val="0"/>
        <w:ind w:left="2240" w:leftChars="800"/>
        <w:rPr>
          <w:rFonts w:eastAsia="Arial Unicode MS"/>
          <w:sz w:val="44"/>
          <w:szCs w:val="44"/>
        </w:rPr>
      </w:pPr>
    </w:p>
    <w:p>
      <w:pPr>
        <w:snapToGrid w:val="0"/>
        <w:ind w:left="2240" w:leftChars="800"/>
        <w:rPr>
          <w:rFonts w:eastAsia="Arial Unicode MS"/>
          <w:sz w:val="44"/>
          <w:szCs w:val="44"/>
        </w:rPr>
      </w:pP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hint="eastAsia" w:eastAsia="Arial Unicode MS"/>
          <w:sz w:val="44"/>
          <w:szCs w:val="44"/>
        </w:rPr>
        <w:t>二○二三年</w:t>
      </w:r>
      <w:r>
        <w:rPr>
          <w:rFonts w:hint="eastAsia" w:eastAsia="Arial Unicode MS"/>
          <w:sz w:val="44"/>
          <w:szCs w:val="44"/>
          <w:lang w:val="en-US" w:eastAsia="zh-CN"/>
        </w:rPr>
        <w:t>八</w:t>
      </w:r>
      <w:r>
        <w:rPr>
          <w:rFonts w:hint="eastAsia" w:eastAsia="Arial Unicode MS"/>
          <w:sz w:val="44"/>
          <w:szCs w:val="44"/>
        </w:rPr>
        <w:t>月</w:t>
      </w:r>
    </w:p>
    <w:p>
      <w:pPr>
        <w:snapToGrid w:val="0"/>
        <w:rPr>
          <w:rFonts w:eastAsia="方正大标宋简体"/>
          <w:sz w:val="44"/>
          <w:szCs w:val="44"/>
        </w:rPr>
      </w:pPr>
    </w:p>
    <w:p>
      <w:pPr>
        <w:snapToGrid w:val="0"/>
        <w:spacing w:line="500" w:lineRule="exact"/>
        <w:rPr>
          <w:rFonts w:eastAsia="黑体"/>
          <w:sz w:val="44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840"/>
          <w:pgMar w:top="1440" w:right="1800" w:bottom="1440" w:left="1800" w:header="964" w:footer="992" w:gutter="0"/>
          <w:pgNumType w:start="1"/>
          <w:cols w:space="720" w:num="1"/>
          <w:titlePg/>
          <w:docGrid w:linePitch="312" w:charSpace="0"/>
        </w:sectPr>
      </w:pPr>
    </w:p>
    <w:p>
      <w:pPr>
        <w:pStyle w:val="4"/>
        <w:numPr>
          <w:ilvl w:val="0"/>
          <w:numId w:val="1"/>
        </w:numPr>
        <w:jc w:val="center"/>
        <w:rPr>
          <w:rFonts w:ascii="Arial Unicode MS" w:hAnsi="Arial Unicode MS" w:eastAsia="Arial Unicode MS" w:cs="Arial Unicode MS"/>
          <w:b w:val="0"/>
          <w:bCs w:val="0"/>
          <w:szCs w:val="28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Cs w:val="28"/>
        </w:rPr>
        <w:t>询价公告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  <w:lang w:eastAsia="zh-CN"/>
        </w:rPr>
        <w:t>我</w:t>
      </w:r>
      <w:r>
        <w:rPr>
          <w:rFonts w:hint="eastAsia" w:ascii="仿宋_GB2312" w:hAnsi="仿宋_GB2312" w:eastAsia="仿宋_GB2312" w:cs="仿宋_GB2312"/>
          <w:kern w:val="0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Cs w:val="28"/>
        </w:rPr>
        <w:t>就以下项目进行询价采购，欢迎有资格的供应商参加该项目询价。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黑体" w:hAnsi="黑体" w:eastAsia="黑体" w:cs="黑体"/>
          <w:szCs w:val="28"/>
        </w:rPr>
        <w:t>项目名称</w:t>
      </w:r>
      <w:r>
        <w:rPr>
          <w:rFonts w:hint="eastAsia" w:ascii="仿宋_GB2312" w:hAnsi="仿宋_GB2312" w:eastAsia="仿宋_GB2312" w:cs="仿宋_GB2312"/>
          <w:szCs w:val="28"/>
        </w:rPr>
        <w:t>：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出口日志升级询价采购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黑体" w:hAnsi="黑体" w:eastAsia="黑体" w:cs="黑体"/>
          <w:szCs w:val="28"/>
        </w:rPr>
        <w:t>项目</w:t>
      </w:r>
      <w:r>
        <w:rPr>
          <w:rFonts w:hint="eastAsia" w:ascii="黑体" w:hAnsi="黑体" w:eastAsia="黑体" w:cs="黑体"/>
          <w:szCs w:val="28"/>
          <w:lang w:val="en-US" w:eastAsia="zh-CN"/>
        </w:rPr>
        <w:t>编号</w:t>
      </w:r>
      <w:r>
        <w:rPr>
          <w:rFonts w:hint="eastAsia" w:ascii="黑体" w:hAnsi="黑体" w:eastAsia="黑体" w:cs="黑体"/>
          <w:szCs w:val="28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30"/>
          <w:szCs w:val="30"/>
          <w:u w:val="single"/>
        </w:rPr>
        <w:t>2023-JYJLAD-FW-00</w:t>
      </w:r>
      <w:r>
        <w:rPr>
          <w:rFonts w:hint="eastAsia" w:ascii="宋体" w:hAnsi="宋体" w:cs="宋体"/>
          <w:i w:val="0"/>
          <w:iCs w:val="0"/>
          <w:caps w:val="0"/>
          <w:color w:val="2F2F2F"/>
          <w:spacing w:val="0"/>
          <w:sz w:val="30"/>
          <w:szCs w:val="30"/>
          <w:u w:val="single"/>
          <w:lang w:val="en-US" w:eastAsia="zh-CN"/>
        </w:rPr>
        <w:t>3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项目预算：</w:t>
      </w:r>
      <w:r>
        <w:rPr>
          <w:rFonts w:hint="eastAsia" w:ascii="仿宋_GB2312" w:hAnsi="仿宋_GB2312" w:eastAsia="仿宋_GB2312" w:cs="仿宋_GB2312"/>
          <w:szCs w:val="28"/>
          <w:u w:val="single"/>
        </w:rPr>
        <w:t>1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8"/>
          <w:u w:val="single"/>
        </w:rPr>
        <w:t>万元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项目概况：</w:t>
      </w:r>
    </w:p>
    <w:tbl>
      <w:tblPr>
        <w:tblStyle w:val="2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018"/>
        <w:gridCol w:w="2840"/>
        <w:gridCol w:w="1420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" w:type="pct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>
            <w:pPr>
              <w:pStyle w:val="19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名称</w:t>
            </w:r>
          </w:p>
        </w:tc>
        <w:tc>
          <w:tcPr>
            <w:tcW w:w="1666" w:type="pct"/>
          </w:tcPr>
          <w:p>
            <w:pPr>
              <w:pStyle w:val="19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技术要求</w:t>
            </w:r>
          </w:p>
        </w:tc>
        <w:tc>
          <w:tcPr>
            <w:tcW w:w="833" w:type="pct"/>
          </w:tcPr>
          <w:p>
            <w:pPr>
              <w:pStyle w:val="19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数量</w:t>
            </w:r>
          </w:p>
        </w:tc>
        <w:tc>
          <w:tcPr>
            <w:tcW w:w="836" w:type="pct"/>
          </w:tcPr>
          <w:p>
            <w:pPr>
              <w:pStyle w:val="19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计量单位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出口日志升级</w:t>
            </w:r>
          </w:p>
        </w:tc>
        <w:tc>
          <w:tcPr>
            <w:tcW w:w="166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</w:tc>
      </w:tr>
    </w:tbl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供应商资格要求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（一）符合《中华人民共和国政府采购法》第二十二条资格条件：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1.具有独立承担民事责任的能力；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2.具有良好的商业信誉和健全的财务会计制度；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3.具有履行协议所必需的设备和专业技术能力；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4.有依法缴纳税收和社会保障资金的良好记录；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5.参加政府采购活动前3年内，在经营活动中没有重大违法记录；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6.法律、行政法规规定的其他条件。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（二）特定资格条件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2.本项目不接受联合体报价。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3.投标货物必须是其主营或主营范围产品（以报价方提供的营业执照、经营许可证销售或代理授权书等证明材料为准）；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4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参加报价供应商必须满足资格要求中的所有条款，否则其报价将被拒绝。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eastAsia="黑体"/>
          <w:szCs w:val="28"/>
        </w:rPr>
      </w:pPr>
      <w:r>
        <w:rPr>
          <w:rFonts w:hint="eastAsia" w:eastAsia="黑体"/>
          <w:szCs w:val="28"/>
        </w:rPr>
        <w:t>询价文件申领时间、方式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（一）询价文件申领时间：自公告发布之日起</w:t>
      </w:r>
      <w:r>
        <w:rPr>
          <w:rFonts w:hint="eastAsia" w:ascii="仿宋_GB2312" w:hAnsi="仿宋_GB2312" w:eastAsia="仿宋_GB2312" w:cs="仿宋_GB2312"/>
          <w:kern w:val="0"/>
          <w:szCs w:val="28"/>
        </w:rPr>
        <w:t>至</w:t>
      </w:r>
      <w:r>
        <w:rPr>
          <w:rFonts w:hint="eastAsia" w:ascii="仿宋_GB2312" w:hAnsi="仿宋_GB2312" w:eastAsia="仿宋_GB2312" w:cs="仿宋_GB2312"/>
          <w:szCs w:val="28"/>
          <w:u w:val="single"/>
          <w:lang w:eastAsia="zh-CN"/>
        </w:rPr>
        <w:t>2023年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8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8"/>
          <w:u w:val="single"/>
          <w:lang w:eastAsia="zh-CN"/>
        </w:rPr>
        <w:t>日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（二）询价文件申领方式：同询价公告一并挂网，自行下载。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报价文件递交：</w:t>
      </w:r>
    </w:p>
    <w:p>
      <w:pPr>
        <w:numPr>
          <w:ilvl w:val="0"/>
          <w:numId w:val="3"/>
        </w:num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报价文件递交截止时间：</w:t>
      </w:r>
      <w:r>
        <w:rPr>
          <w:rFonts w:hint="eastAsia" w:ascii="仿宋_GB2312" w:hAnsi="仿宋_GB2312" w:eastAsia="仿宋_GB2312" w:cs="仿宋_GB2312"/>
          <w:szCs w:val="28"/>
          <w:u w:val="single"/>
        </w:rPr>
        <w:t>2023</w:t>
      </w:r>
      <w:r>
        <w:rPr>
          <w:rFonts w:hint="eastAsia" w:ascii="仿宋_GB2312" w:hAnsi="仿宋_GB2312" w:eastAsia="仿宋_GB2312" w:cs="仿宋_GB2312"/>
          <w:szCs w:val="28"/>
        </w:rPr>
        <w:t>年</w:t>
      </w:r>
      <w:r>
        <w:rPr>
          <w:rFonts w:hint="eastAsia" w:ascii="仿宋_GB2312" w:hAnsi="仿宋_GB2312" w:eastAsia="仿宋_GB2312" w:cs="仿宋_GB2312"/>
          <w:szCs w:val="28"/>
          <w:u w:val="single"/>
        </w:rPr>
        <w:t>9</w:t>
      </w:r>
      <w:r>
        <w:rPr>
          <w:rFonts w:hint="eastAsia" w:ascii="仿宋_GB2312" w:hAnsi="仿宋_GB2312" w:eastAsia="仿宋_GB2312" w:cs="仿宋_GB2312"/>
          <w:szCs w:val="28"/>
        </w:rPr>
        <w:t>月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8"/>
        </w:rPr>
        <w:t>日</w:t>
      </w:r>
      <w:r>
        <w:rPr>
          <w:rFonts w:hint="eastAsia" w:ascii="仿宋_GB2312" w:hAnsi="仿宋_GB2312" w:eastAsia="仿宋_GB2312" w:cs="仿宋_GB2312"/>
          <w:szCs w:val="28"/>
          <w:u w:val="single"/>
        </w:rPr>
        <w:t>18</w:t>
      </w:r>
      <w:r>
        <w:rPr>
          <w:rFonts w:hint="eastAsia" w:ascii="仿宋_GB2312" w:hAnsi="仿宋_GB2312" w:eastAsia="仿宋_GB2312" w:cs="仿宋_GB2312"/>
          <w:szCs w:val="28"/>
        </w:rPr>
        <w:t>时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Cs w:val="28"/>
        </w:rPr>
        <w:t>分</w:t>
      </w:r>
    </w:p>
    <w:p>
      <w:pPr>
        <w:numPr>
          <w:ilvl w:val="0"/>
          <w:numId w:val="3"/>
        </w:numPr>
        <w:adjustRightInd w:val="0"/>
        <w:snapToGrid w:val="0"/>
        <w:spacing w:line="480" w:lineRule="exact"/>
        <w:ind w:firstLine="560" w:firstLineChars="200"/>
      </w:pPr>
      <w:r>
        <w:rPr>
          <w:rFonts w:hint="eastAsia" w:ascii="楷体_GB2312" w:hAnsi="楷体_GB2312" w:eastAsia="楷体_GB2312" w:cs="楷体_GB2312"/>
          <w:szCs w:val="28"/>
        </w:rPr>
        <w:t>报价文件递交要求：</w:t>
      </w:r>
      <w:r>
        <w:rPr>
          <w:rFonts w:hint="eastAsia" w:ascii="仿宋_GB2312" w:hAnsi="仿宋_GB2312" w:eastAsia="仿宋_GB2312" w:cs="仿宋_GB2312"/>
          <w:kern w:val="0"/>
          <w:szCs w:val="28"/>
        </w:rPr>
        <w:t>签字盖章完善并密封递交，否则其报将被拒绝；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楷体_GB2312" w:cs="仿宋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（三）报价文件递交地址：</w:t>
      </w:r>
      <w:r>
        <w:rPr>
          <w:rFonts w:hint="eastAsia" w:ascii="仿宋_GB2312" w:hAnsi="仿宋_GB2312" w:eastAsia="仿宋_GB2312" w:cs="仿宋_GB2312"/>
          <w:szCs w:val="28"/>
        </w:rPr>
        <w:t>重庆市沙坪坝区高滩岩正街30号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Cs w:val="28"/>
        </w:rPr>
        <w:t>联系方式：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本采购项目相关信息在《大学官网》（http://www.tmmu.edu.cn）上发布。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联系方式：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 系 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万老师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</w:t>
      </w:r>
    </w:p>
    <w:p>
      <w:pPr>
        <w:pStyle w:val="2"/>
        <w:snapToGrid w:val="0"/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983862608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1"/>
        </w:numPr>
        <w:jc w:val="center"/>
        <w:rPr>
          <w:rFonts w:ascii="Arial Unicode MS" w:hAnsi="Arial Unicode MS" w:eastAsia="Arial Unicode MS" w:cs="Arial Unicode MS"/>
          <w:b w:val="0"/>
          <w:bCs w:val="0"/>
          <w:szCs w:val="28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Cs w:val="28"/>
        </w:rPr>
        <w:t>技术与商务需求</w:t>
      </w:r>
    </w:p>
    <w:p>
      <w:pPr>
        <w:numPr>
          <w:ilvl w:val="0"/>
          <w:numId w:val="4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采购需求一览表</w:t>
      </w:r>
    </w:p>
    <w:tbl>
      <w:tblPr>
        <w:tblStyle w:val="2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689"/>
        <w:gridCol w:w="1540"/>
        <w:gridCol w:w="1411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5" w:type="pct"/>
            <w:vAlign w:val="center"/>
          </w:tcPr>
          <w:p>
            <w:pPr>
              <w:pStyle w:val="11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>
            <w:pPr>
              <w:pStyle w:val="11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>
            <w:pPr>
              <w:pStyle w:val="11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>
            <w:pPr>
              <w:pStyle w:val="11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>
            <w:pPr>
              <w:pStyle w:val="11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65" w:type="pct"/>
            <w:vAlign w:val="center"/>
          </w:tcPr>
          <w:p>
            <w:pPr>
              <w:pStyle w:val="8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>
            <w:pPr>
              <w:pStyle w:val="11"/>
              <w:spacing w:line="240" w:lineRule="atLeast"/>
              <w:ind w:left="0"/>
              <w:jc w:val="center"/>
              <w:outlineLvl w:val="0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en-US"/>
              </w:rPr>
              <w:t>出口日志升级</w:t>
            </w:r>
          </w:p>
        </w:tc>
        <w:tc>
          <w:tcPr>
            <w:tcW w:w="904" w:type="pct"/>
            <w:vAlign w:val="center"/>
          </w:tcPr>
          <w:p>
            <w:pPr>
              <w:pStyle w:val="8"/>
              <w:spacing w:line="400" w:lineRule="exact"/>
              <w:ind w:firstLine="0"/>
              <w:jc w:val="center"/>
              <w:outlineLvl w:val="0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en-US"/>
              </w:rPr>
              <w:t>1</w:t>
            </w:r>
          </w:p>
        </w:tc>
        <w:tc>
          <w:tcPr>
            <w:tcW w:w="828" w:type="pct"/>
            <w:vAlign w:val="center"/>
          </w:tcPr>
          <w:p>
            <w:pPr>
              <w:pStyle w:val="8"/>
              <w:spacing w:line="400" w:lineRule="exact"/>
              <w:ind w:firstLine="0"/>
              <w:jc w:val="center"/>
              <w:outlineLvl w:val="0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en-US"/>
              </w:rPr>
              <w:t>项</w:t>
            </w:r>
          </w:p>
        </w:tc>
        <w:tc>
          <w:tcPr>
            <w:tcW w:w="1125" w:type="pct"/>
            <w:vAlign w:val="center"/>
          </w:tcPr>
          <w:p>
            <w:pPr>
              <w:pStyle w:val="8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>
      <w:pPr>
        <w:numPr>
          <w:ilvl w:val="0"/>
          <w:numId w:val="4"/>
        </w:numPr>
        <w:adjustRightInd w:val="0"/>
        <w:snapToGrid w:val="0"/>
        <w:spacing w:line="480" w:lineRule="exact"/>
        <w:ind w:left="0" w:firstLine="560" w:firstLineChars="200"/>
        <w:rPr>
          <w:rFonts w:ascii="Arial Unicode MS" w:hAnsi="宋体" w:eastAsia="Arial Unicode MS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</w:rPr>
        <w:t>技术需求</w:t>
      </w:r>
    </w:p>
    <w:p>
      <w:pPr>
        <w:pStyle w:val="5"/>
        <w:spacing w:before="0" w:after="0" w:line="5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（一）技术要求</w:t>
      </w:r>
    </w:p>
    <w:p>
      <w:pPr>
        <w:pStyle w:val="6"/>
        <w:numPr>
          <w:ilvl w:val="0"/>
          <w:numId w:val="5"/>
        </w:numPr>
        <w:spacing w:before="0" w:after="0" w:line="560" w:lineRule="exact"/>
        <w:ind w:hanging="44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硬件技术参数</w:t>
      </w:r>
      <w:bookmarkStart w:id="0" w:name="_GoBack"/>
      <w:bookmarkEnd w:id="0"/>
    </w:p>
    <w:p>
      <w:pPr>
        <w:pStyle w:val="35"/>
        <w:numPr>
          <w:ilvl w:val="0"/>
          <w:numId w:val="6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▲配置≥2颗处理器；单颗处理器核心数≥1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核，主频≥</w:t>
      </w:r>
      <w:r>
        <w:rPr>
          <w:rFonts w:ascii="仿宋_GB2312" w:eastAsia="仿宋_GB2312"/>
          <w:sz w:val="28"/>
          <w:szCs w:val="28"/>
        </w:rPr>
        <w:t>3.2</w:t>
      </w:r>
      <w:r>
        <w:rPr>
          <w:rFonts w:hint="eastAsia" w:ascii="仿宋_GB2312" w:eastAsia="仿宋_GB2312"/>
          <w:sz w:val="28"/>
          <w:szCs w:val="28"/>
        </w:rPr>
        <w:t>G。</w:t>
      </w:r>
    </w:p>
    <w:p>
      <w:pPr>
        <w:pStyle w:val="35"/>
        <w:numPr>
          <w:ilvl w:val="0"/>
          <w:numId w:val="6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▲配置≥2*32GB DDR4 内存；提供≥24个内存插槽。</w:t>
      </w:r>
    </w:p>
    <w:p>
      <w:pPr>
        <w:pStyle w:val="35"/>
        <w:numPr>
          <w:ilvl w:val="0"/>
          <w:numId w:val="6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配置≥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块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hint="eastAsia" w:ascii="仿宋_GB2312" w:eastAsia="仿宋_GB2312"/>
          <w:sz w:val="28"/>
          <w:szCs w:val="28"/>
        </w:rPr>
        <w:t>T SATA盘；实配插槽数≥12个。</w:t>
      </w:r>
    </w:p>
    <w:p>
      <w:pPr>
        <w:pStyle w:val="35"/>
        <w:numPr>
          <w:ilvl w:val="0"/>
          <w:numId w:val="6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主板支持M</w:t>
      </w:r>
      <w:r>
        <w:rPr>
          <w:rFonts w:ascii="仿宋_GB2312" w:eastAsia="仿宋_GB2312"/>
          <w:sz w:val="28"/>
          <w:szCs w:val="28"/>
        </w:rPr>
        <w:t>.2</w:t>
      </w:r>
      <w:r>
        <w:rPr>
          <w:rFonts w:hint="eastAsia" w:ascii="仿宋_GB2312" w:eastAsia="仿宋_GB2312"/>
          <w:sz w:val="28"/>
          <w:szCs w:val="28"/>
        </w:rPr>
        <w:t>硬盘插槽，配置</w:t>
      </w:r>
      <w:r>
        <w:rPr>
          <w:rFonts w:ascii="仿宋_GB2312" w:eastAsia="仿宋_GB2312"/>
          <w:sz w:val="28"/>
          <w:szCs w:val="28"/>
        </w:rPr>
        <w:t>1TB</w:t>
      </w:r>
      <w:r>
        <w:rPr>
          <w:rFonts w:hint="eastAsia" w:ascii="仿宋_GB2312" w:eastAsia="仿宋_GB2312"/>
          <w:sz w:val="28"/>
          <w:szCs w:val="28"/>
        </w:rPr>
        <w:t>的M</w:t>
      </w:r>
      <w:r>
        <w:rPr>
          <w:rFonts w:ascii="仿宋_GB2312" w:eastAsia="仿宋_GB2312"/>
          <w:sz w:val="28"/>
          <w:szCs w:val="28"/>
        </w:rPr>
        <w:t>.2</w:t>
      </w:r>
      <w:r>
        <w:rPr>
          <w:rFonts w:hint="eastAsia" w:ascii="仿宋_GB2312" w:eastAsia="仿宋_GB2312"/>
          <w:sz w:val="28"/>
          <w:szCs w:val="28"/>
        </w:rPr>
        <w:t>硬盘</w:t>
      </w:r>
    </w:p>
    <w:p>
      <w:pPr>
        <w:pStyle w:val="35"/>
        <w:numPr>
          <w:ilvl w:val="0"/>
          <w:numId w:val="6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配置独立硬件RAID卡，配置≥2GB缓存，提供RAID0/1/5/6/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hint="eastAsia" w:ascii="仿宋_GB2312" w:eastAsia="仿宋_GB2312"/>
          <w:sz w:val="28"/>
          <w:szCs w:val="28"/>
        </w:rPr>
        <w:t>/50/60的备份策略。</w:t>
      </w:r>
    </w:p>
    <w:p>
      <w:pPr>
        <w:pStyle w:val="35"/>
        <w:numPr>
          <w:ilvl w:val="0"/>
          <w:numId w:val="6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配置≥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块四口千兆电口网卡。</w:t>
      </w:r>
    </w:p>
    <w:p>
      <w:pPr>
        <w:pStyle w:val="35"/>
        <w:numPr>
          <w:ilvl w:val="0"/>
          <w:numId w:val="6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提供双电源，满配冗余</w:t>
      </w:r>
      <w:r>
        <w:rPr>
          <w:rFonts w:ascii="仿宋_GB2312" w:eastAsia="仿宋_GB2312"/>
          <w:sz w:val="28"/>
          <w:szCs w:val="28"/>
        </w:rPr>
        <w:t>1200</w:t>
      </w:r>
      <w:r>
        <w:rPr>
          <w:rFonts w:hint="eastAsia" w:ascii="仿宋_GB2312" w:eastAsia="仿宋_GB2312"/>
          <w:sz w:val="28"/>
          <w:szCs w:val="28"/>
        </w:rPr>
        <w:t>W电源，满配热插拔冗余风扇模组。</w:t>
      </w:r>
    </w:p>
    <w:p>
      <w:pPr>
        <w:pStyle w:val="35"/>
        <w:numPr>
          <w:ilvl w:val="0"/>
          <w:numId w:val="6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集成系统管理芯片，配置1个独立的千兆管理网口,提供IPMI2.0、KVM over IP、虚拟媒体等管理功能。</w:t>
      </w:r>
    </w:p>
    <w:p>
      <w:pPr>
        <w:pStyle w:val="35"/>
        <w:numPr>
          <w:ilvl w:val="0"/>
          <w:numId w:val="6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为保证数据存储安全，服务器硬盘须采用防震硬盘托架，解决硬盘在运输和使用过程中由于震动引起的磁头盘片碰撞，造成的数据丢失的问题。</w:t>
      </w:r>
    </w:p>
    <w:p>
      <w:pPr>
        <w:pStyle w:val="6"/>
        <w:numPr>
          <w:ilvl w:val="0"/>
          <w:numId w:val="5"/>
        </w:numPr>
        <w:spacing w:line="415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软件技术参数</w:t>
      </w:r>
    </w:p>
    <w:p>
      <w:pPr>
        <w:pStyle w:val="7"/>
        <w:spacing w:line="377" w:lineRule="auto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日志数据采集</w:t>
      </w:r>
    </w:p>
    <w:p>
      <w:pPr>
        <w:pStyle w:val="35"/>
        <w:numPr>
          <w:ilvl w:val="0"/>
          <w:numId w:val="7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提供可视化自定义配置日志源，配置完成后可实现自动导入日志。</w:t>
      </w:r>
    </w:p>
    <w:p>
      <w:pPr>
        <w:pStyle w:val="35"/>
        <w:numPr>
          <w:ilvl w:val="0"/>
          <w:numId w:val="7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日志源类型支持包括但不限于Syslog、NETCAT、文件/文件夹。</w:t>
      </w:r>
    </w:p>
    <w:p>
      <w:pPr>
        <w:pStyle w:val="35"/>
        <w:numPr>
          <w:ilvl w:val="0"/>
          <w:numId w:val="7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支持第三方主流厂商设备，NAT设备、DNS、DHCP、防火墙、行为审计设备，以及Linux/Windows主机等日志采集分析。</w:t>
      </w:r>
    </w:p>
    <w:p>
      <w:pPr>
        <w:pStyle w:val="35"/>
        <w:numPr>
          <w:ilvl w:val="0"/>
          <w:numId w:val="7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提供使用代理（Agent）方式提取日志并收集。</w:t>
      </w:r>
    </w:p>
    <w:p>
      <w:pPr>
        <w:pStyle w:val="35"/>
        <w:numPr>
          <w:ilvl w:val="0"/>
          <w:numId w:val="7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提供日志格式结构化功能，可对结构或非结构化日志进行自动识别、格式化并提取其中的主要字段。</w:t>
      </w:r>
    </w:p>
    <w:p>
      <w:pPr>
        <w:pStyle w:val="35"/>
        <w:numPr>
          <w:ilvl w:val="0"/>
          <w:numId w:val="7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对不支持的事件类型日志做格式化处理，不需要改动代码，在界面配置即可完成。</w:t>
      </w:r>
    </w:p>
    <w:p>
      <w:pPr>
        <w:pStyle w:val="35"/>
        <w:numPr>
          <w:ilvl w:val="0"/>
          <w:numId w:val="7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提供日志入库压缩功能，降低日志数据储存容量，压缩率不低于3</w:t>
      </w:r>
      <w:r>
        <w:rPr>
          <w:rFonts w:ascii="仿宋_GB2312" w:eastAsia="仿宋_GB2312"/>
          <w:sz w:val="28"/>
          <w:szCs w:val="28"/>
        </w:rPr>
        <w:t>5%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pStyle w:val="7"/>
        <w:spacing w:line="377" w:lineRule="auto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日志数据关联</w:t>
      </w:r>
    </w:p>
    <w:p>
      <w:pPr>
        <w:pStyle w:val="35"/>
        <w:numPr>
          <w:ilvl w:val="0"/>
          <w:numId w:val="8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内建用户在线表，实现对日志源的用户IP字段实现实名标签自动关联。</w:t>
      </w:r>
    </w:p>
    <w:p>
      <w:pPr>
        <w:pStyle w:val="35"/>
        <w:numPr>
          <w:ilvl w:val="0"/>
          <w:numId w:val="8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内建运营商地址、终端厂商等静态数据源，实现日志源对上述数据源的自动关联。</w:t>
      </w:r>
    </w:p>
    <w:p>
      <w:pPr>
        <w:pStyle w:val="35"/>
        <w:numPr>
          <w:ilvl w:val="0"/>
          <w:numId w:val="8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提供日志格式化和自动关联同时完成。</w:t>
      </w:r>
    </w:p>
    <w:p>
      <w:pPr>
        <w:pStyle w:val="35"/>
        <w:numPr>
          <w:ilvl w:val="0"/>
          <w:numId w:val="8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★多运营商PPPoE代拨组网，支持校园用户访问、流量日志与运营商侧用户日志信息一对一无缝关联；有体现如下元素：校园账号、运营商账号、校园源IP、运营商源IP、代拨设备IP、目标IP、源端口、目标端口、访问时间、访问URL/上下行流量等等。</w:t>
      </w:r>
    </w:p>
    <w:p>
      <w:pPr>
        <w:pStyle w:val="35"/>
        <w:numPr>
          <w:ilvl w:val="0"/>
          <w:numId w:val="8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提供不同日志源间日志便捷关联查询。</w:t>
      </w:r>
    </w:p>
    <w:p>
      <w:pPr>
        <w:pStyle w:val="35"/>
        <w:numPr>
          <w:ilvl w:val="0"/>
          <w:numId w:val="8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★实名身份标签自动关联，满足实名合规要求。提供实名用户完整网络行为轨迹原始数据。提供用户IP字段自动关联实名身份后入库存储，实现任意日志实名溯源的功能。提供Dr.COM认证系统实时自动关联的功能。</w:t>
      </w:r>
    </w:p>
    <w:p>
      <w:pPr>
        <w:pStyle w:val="7"/>
        <w:spacing w:line="377" w:lineRule="auto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系统及日志监控</w:t>
      </w:r>
    </w:p>
    <w:p>
      <w:pPr>
        <w:pStyle w:val="35"/>
        <w:numPr>
          <w:ilvl w:val="0"/>
          <w:numId w:val="9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监控多个日志源日志导入的运行状态，包括：最近汇总时间、最近汇总记录数、最近记录速度（条/秒）、最新记录时间、最近1小时日志写入曲线图、最新写入一条的原始日志等。</w:t>
      </w:r>
    </w:p>
    <w:p>
      <w:pPr>
        <w:pStyle w:val="35"/>
        <w:numPr>
          <w:ilvl w:val="0"/>
          <w:numId w:val="9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监控每个日志源的的存储状态，包括：日志缺失天数、储存占用空间、日志历时天数、日志最早/最新时间、最近六天每日存储占用空间等。</w:t>
      </w:r>
    </w:p>
    <w:p>
      <w:pPr>
        <w:pStyle w:val="35"/>
        <w:numPr>
          <w:ilvl w:val="0"/>
          <w:numId w:val="9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监控系统日志写入指标，包括：接收记录数、写入记录数、写入成功/失败次数，写入成功率、可用容量、当前占用容量、占用率。</w:t>
      </w:r>
    </w:p>
    <w:p>
      <w:pPr>
        <w:pStyle w:val="35"/>
        <w:numPr>
          <w:ilvl w:val="0"/>
          <w:numId w:val="9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提供系统实时运行状态变化曲线图，包括：CPU占用率、内存占用率、剩余空间、磁盘使用率等。</w:t>
      </w:r>
    </w:p>
    <w:p>
      <w:pPr>
        <w:pStyle w:val="7"/>
        <w:spacing w:line="377" w:lineRule="auto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日志分析与检索</w:t>
      </w:r>
    </w:p>
    <w:p>
      <w:pPr>
        <w:pStyle w:val="35"/>
        <w:numPr>
          <w:ilvl w:val="0"/>
          <w:numId w:val="10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提供对日志源的不同字段进行精确、范围、模糊查询，并且对查询结果中的每个字段进行饼形图分布统计。</w:t>
      </w:r>
    </w:p>
    <w:p>
      <w:pPr>
        <w:pStyle w:val="35"/>
        <w:numPr>
          <w:ilvl w:val="0"/>
          <w:numId w:val="10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提供对日志源的各个字段进行聚合查询，包括去重记录数、平均值、总数、最大值、最小值等。</w:t>
      </w:r>
    </w:p>
    <w:p>
      <w:pPr>
        <w:pStyle w:val="35"/>
        <w:numPr>
          <w:ilvl w:val="0"/>
          <w:numId w:val="10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★提供同一查询条件对多个日志数据源的标签联合搜索，可事先组合数据标签、数据源，保存查询模板等，方便后续的快捷查询。</w:t>
      </w:r>
    </w:p>
    <w:p>
      <w:pPr>
        <w:pStyle w:val="35"/>
        <w:numPr>
          <w:ilvl w:val="0"/>
          <w:numId w:val="10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可回溯检索的历史快照，包括每次历史查询的查询条件和查询结果。</w:t>
      </w:r>
    </w:p>
    <w:p>
      <w:pPr>
        <w:pStyle w:val="7"/>
        <w:spacing w:line="377" w:lineRule="auto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可视化统计分析</w:t>
      </w:r>
    </w:p>
    <w:p>
      <w:pPr>
        <w:pStyle w:val="35"/>
        <w:numPr>
          <w:ilvl w:val="0"/>
          <w:numId w:val="11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提供对查询的详细日志信息列表具备统计功能。</w:t>
      </w:r>
    </w:p>
    <w:p>
      <w:pPr>
        <w:pStyle w:val="35"/>
        <w:numPr>
          <w:ilvl w:val="0"/>
          <w:numId w:val="11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提供日志数据字段属性选择性显示的功能。</w:t>
      </w:r>
    </w:p>
    <w:p>
      <w:pPr>
        <w:pStyle w:val="35"/>
        <w:numPr>
          <w:ilvl w:val="0"/>
          <w:numId w:val="11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每个日志源提供独立的仪表盘，显示每个字段记录数的变化曲线图、记录数、TOP50排名、TOP10分布饼形图等，统计时间周期可拖动调整。</w:t>
      </w:r>
    </w:p>
    <w:p>
      <w:pPr>
        <w:pStyle w:val="35"/>
        <w:numPr>
          <w:ilvl w:val="0"/>
          <w:numId w:val="11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提供日志源的同一字段的历史对比曲线图，统计时间范围粒度1小时～15天可调。</w:t>
      </w:r>
    </w:p>
    <w:p>
      <w:pPr>
        <w:pStyle w:val="35"/>
        <w:numPr>
          <w:ilvl w:val="0"/>
          <w:numId w:val="11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日志源每个字段内各数值分布变化曲线，统计时间范围粒度1小时～15天可调。</w:t>
      </w:r>
    </w:p>
    <w:p>
      <w:pPr>
        <w:pStyle w:val="35"/>
        <w:numPr>
          <w:ilvl w:val="0"/>
          <w:numId w:val="11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所有统计图形可一键导出PNG、JPG、SVG格式图形文件本地保存。</w:t>
      </w:r>
    </w:p>
    <w:p>
      <w:pPr>
        <w:pStyle w:val="35"/>
        <w:numPr>
          <w:ilvl w:val="0"/>
          <w:numId w:val="11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所有表格可一键打印或导出PDF、xls表格。</w:t>
      </w:r>
    </w:p>
    <w:p>
      <w:pPr>
        <w:pStyle w:val="7"/>
        <w:spacing w:line="377" w:lineRule="auto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通知告警</w:t>
      </w:r>
    </w:p>
    <w:p>
      <w:pPr>
        <w:pStyle w:val="35"/>
        <w:numPr>
          <w:ilvl w:val="0"/>
          <w:numId w:val="12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提供提取识别syslog中告警级别信息的功能，并自定义根据级别信息进行告警。</w:t>
      </w:r>
    </w:p>
    <w:p>
      <w:pPr>
        <w:pStyle w:val="35"/>
        <w:numPr>
          <w:ilvl w:val="0"/>
          <w:numId w:val="12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提供系统运行状态告警功能，如CPU、内存、磁盘占用阀值告警及设置。</w:t>
      </w:r>
    </w:p>
    <w:p>
      <w:pPr>
        <w:pStyle w:val="35"/>
        <w:numPr>
          <w:ilvl w:val="0"/>
          <w:numId w:val="12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提供日志导入状态告警功能、日志记录跟踪告警、日志汇总告警及设置。</w:t>
      </w:r>
    </w:p>
    <w:p>
      <w:pPr>
        <w:pStyle w:val="35"/>
        <w:numPr>
          <w:ilvl w:val="0"/>
          <w:numId w:val="12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提供告警以邮件方式通知功能，并在系统界面直接配置邮件相关设置及告警邮件测试支持。</w:t>
      </w:r>
    </w:p>
    <w:p>
      <w:pPr>
        <w:pStyle w:val="35"/>
        <w:numPr>
          <w:ilvl w:val="0"/>
          <w:numId w:val="12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告警记录能直接在系统内查询管理。</w:t>
      </w:r>
    </w:p>
    <w:p>
      <w:pPr>
        <w:pStyle w:val="35"/>
        <w:numPr>
          <w:ilvl w:val="0"/>
          <w:numId w:val="12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提供短信告警通知功能，管理员可自定义配置通知手机号码。</w:t>
      </w:r>
    </w:p>
    <w:p>
      <w:pPr>
        <w:pStyle w:val="7"/>
        <w:spacing w:line="377" w:lineRule="auto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系统管理</w:t>
      </w:r>
    </w:p>
    <w:p>
      <w:pPr>
        <w:pStyle w:val="35"/>
        <w:numPr>
          <w:ilvl w:val="0"/>
          <w:numId w:val="13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提供角色权限管理功能，可自定义管理对应日志源、功能模块、日志源数量等权限。</w:t>
      </w:r>
    </w:p>
    <w:p>
      <w:pPr>
        <w:pStyle w:val="35"/>
        <w:numPr>
          <w:ilvl w:val="0"/>
          <w:numId w:val="13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提供实时任务提醒、任务状态提示等。</w:t>
      </w:r>
    </w:p>
    <w:p>
      <w:pPr>
        <w:pStyle w:val="35"/>
        <w:numPr>
          <w:ilvl w:val="0"/>
          <w:numId w:val="13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授权日志源数量≥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pStyle w:val="35"/>
        <w:numPr>
          <w:ilvl w:val="0"/>
          <w:numId w:val="13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提供各日志源的管理员账号配置的功能。</w:t>
      </w:r>
    </w:p>
    <w:p>
      <w:pPr>
        <w:pStyle w:val="7"/>
        <w:spacing w:line="377" w:lineRule="auto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日志数据管理</w:t>
      </w:r>
    </w:p>
    <w:p>
      <w:pPr>
        <w:pStyle w:val="35"/>
        <w:numPr>
          <w:ilvl w:val="0"/>
          <w:numId w:val="14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提供日常存储的天数配置功能，可自定义设置天数≥3</w:t>
      </w:r>
      <w:r>
        <w:rPr>
          <w:rFonts w:ascii="仿宋_GB2312" w:eastAsia="仿宋_GB2312"/>
          <w:sz w:val="28"/>
          <w:szCs w:val="28"/>
        </w:rPr>
        <w:t>65</w:t>
      </w:r>
      <w:r>
        <w:rPr>
          <w:rFonts w:hint="eastAsia" w:ascii="仿宋_GB2312" w:eastAsia="仿宋_GB2312"/>
          <w:sz w:val="28"/>
          <w:szCs w:val="28"/>
        </w:rPr>
        <w:t>天。</w:t>
      </w:r>
    </w:p>
    <w:p>
      <w:pPr>
        <w:pStyle w:val="35"/>
        <w:numPr>
          <w:ilvl w:val="0"/>
          <w:numId w:val="14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系统提供日志清除的策略需要自定义设置功能。</w:t>
      </w:r>
    </w:p>
    <w:p>
      <w:pPr>
        <w:pStyle w:val="5"/>
        <w:spacing w:before="0" w:after="0" w:line="5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（二）经济要求</w:t>
      </w:r>
    </w:p>
    <w:p>
      <w:pPr>
        <w:pStyle w:val="6"/>
        <w:numPr>
          <w:ilvl w:val="0"/>
          <w:numId w:val="15"/>
        </w:numPr>
        <w:spacing w:before="0" w:after="0"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数量、交付或者实施周期和服务地点</w:t>
      </w:r>
    </w:p>
    <w:p>
      <w:pPr>
        <w:spacing w:line="560" w:lineRule="exact"/>
        <w:ind w:firstLine="560" w:firstLineChars="200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项目实施周期：合同签订后</w:t>
      </w:r>
      <w:r>
        <w:rPr>
          <w:rFonts w:ascii="仿宋_GB2312" w:hAnsi="宋体" w:eastAsia="仿宋_GB2312" w:cs="Times New Roman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个月。</w:t>
      </w:r>
    </w:p>
    <w:p>
      <w:pPr>
        <w:spacing w:line="560" w:lineRule="exact"/>
        <w:ind w:firstLine="560" w:firstLineChars="200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服务地点：重庆市。</w:t>
      </w:r>
    </w:p>
    <w:p>
      <w:pPr>
        <w:pStyle w:val="6"/>
        <w:numPr>
          <w:ilvl w:val="0"/>
          <w:numId w:val="15"/>
        </w:numPr>
        <w:spacing w:before="0" w:after="0" w:line="560" w:lineRule="exact"/>
        <w:ind w:hanging="44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售后服务要求</w:t>
      </w:r>
    </w:p>
    <w:p>
      <w:pPr>
        <w:pStyle w:val="35"/>
        <w:numPr>
          <w:ilvl w:val="0"/>
          <w:numId w:val="16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项目综合验收之日起投标人提供≥3年售后维保周期，每季度对系统及其硬件进行巡检，提供巡检报告。</w:t>
      </w:r>
    </w:p>
    <w:p>
      <w:pPr>
        <w:pStyle w:val="35"/>
        <w:numPr>
          <w:ilvl w:val="0"/>
          <w:numId w:val="16"/>
        </w:numPr>
        <w:spacing w:line="579" w:lineRule="exact"/>
        <w:ind w:left="0"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投标人所投产品必须是成熟产品，在质保周期内，投标人对产品进行了迭代更新，须向大学提供对等升级服务。</w:t>
      </w:r>
    </w:p>
    <w:p>
      <w:pPr>
        <w:pStyle w:val="6"/>
        <w:numPr>
          <w:ilvl w:val="0"/>
          <w:numId w:val="15"/>
        </w:numPr>
        <w:spacing w:before="0" w:after="0" w:line="560" w:lineRule="exact"/>
        <w:ind w:hanging="44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付款方式</w:t>
      </w:r>
    </w:p>
    <w:p>
      <w:pPr>
        <w:spacing w:line="560" w:lineRule="exact"/>
        <w:ind w:firstLine="560" w:firstLineChars="200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到货后完成安装调试并通过测试和验收支付货款95%，质保期满支付5%。</w:t>
      </w:r>
    </w:p>
    <w:p>
      <w:pPr>
        <w:pStyle w:val="5"/>
        <w:spacing w:before="0" w:after="0" w:line="5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（三）项目实施要求</w:t>
      </w:r>
    </w:p>
    <w:p>
      <w:pPr>
        <w:spacing w:line="560" w:lineRule="exact"/>
        <w:ind w:firstLine="560" w:firstLineChars="200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1</w:t>
      </w:r>
      <w:r>
        <w:rPr>
          <w:rFonts w:ascii="仿宋_GB2312" w:hAnsi="宋体" w:eastAsia="仿宋_GB2312" w:cs="Times New Roman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投标人所提供产品及服务须与大学认证计费系统完成数据对接，为上网日志记录能对应到精准的上网账号。</w:t>
      </w:r>
    </w:p>
    <w:p>
      <w:pPr>
        <w:spacing w:line="560" w:lineRule="exact"/>
        <w:ind w:firstLine="560" w:firstLineChars="200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2</w:t>
      </w:r>
      <w:r>
        <w:rPr>
          <w:rFonts w:ascii="仿宋_GB2312" w:hAnsi="宋体" w:eastAsia="仿宋_GB2312" w:cs="Times New Roman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投标人须根据大学需要提供实施过程的相关文档。</w:t>
      </w:r>
    </w:p>
    <w:p>
      <w:pPr>
        <w:rPr>
          <w:sz w:val="28"/>
          <w:szCs w:val="28"/>
        </w:rPr>
      </w:pPr>
    </w:p>
    <w:p>
      <w:pPr>
        <w:snapToGri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numPr>
          <w:ilvl w:val="0"/>
          <w:numId w:val="1"/>
        </w:numPr>
        <w:jc w:val="center"/>
        <w:rPr>
          <w:rFonts w:ascii="Arial Unicode MS" w:hAnsi="Arial Unicode MS" w:eastAsia="Arial Unicode MS" w:cs="Arial Unicode MS"/>
          <w:b w:val="0"/>
          <w:bCs w:val="0"/>
          <w:szCs w:val="28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Cs w:val="28"/>
        </w:rPr>
        <w:t>报价文件（报价方使用）</w:t>
      </w:r>
    </w:p>
    <w:tbl>
      <w:tblPr>
        <w:tblStyle w:val="20"/>
        <w:tblW w:w="500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Style w:val="44"/>
                <w:rFonts w:hint="default"/>
                <w:sz w:val="48"/>
                <w:szCs w:val="48"/>
              </w:rPr>
            </w:pPr>
            <w:r>
              <w:rPr>
                <w:rStyle w:val="44"/>
                <w:rFonts w:hint="eastAsia" w:eastAsia="Arial Unicode MS"/>
                <w:i/>
                <w:iCs/>
                <w:sz w:val="48"/>
                <w:szCs w:val="48"/>
                <w:u w:val="single"/>
                <w:lang w:eastAsia="zh-CN"/>
              </w:rPr>
              <w:t>（</w:t>
            </w:r>
            <w:r>
              <w:rPr>
                <w:rStyle w:val="44"/>
                <w:rFonts w:hint="eastAsia" w:eastAsia="Arial Unicode MS"/>
                <w:i/>
                <w:iCs/>
                <w:sz w:val="48"/>
                <w:szCs w:val="48"/>
                <w:u w:val="single"/>
                <w:lang w:val="en-US" w:eastAsia="zh-CN"/>
              </w:rPr>
              <w:t>项目名称</w:t>
            </w:r>
            <w:r>
              <w:rPr>
                <w:rStyle w:val="44"/>
                <w:rFonts w:hint="eastAsia" w:eastAsia="Arial Unicode MS"/>
                <w:i/>
                <w:iCs/>
                <w:sz w:val="48"/>
                <w:szCs w:val="48"/>
                <w:u w:val="single"/>
                <w:lang w:eastAsia="zh-CN"/>
              </w:rPr>
              <w:t>）</w:t>
            </w:r>
            <w:r>
              <w:rPr>
                <w:rStyle w:val="44"/>
                <w:rFonts w:hint="default"/>
                <w:sz w:val="48"/>
                <w:szCs w:val="48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 Unicode MS" w:hAnsi="Arial Unicode MS" w:eastAsia="Arial Unicode MS" w:cs="Arial Unicode MS"/>
                <w:color w:val="000000"/>
                <w:sz w:val="48"/>
                <w:szCs w:val="4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48"/>
                <w:szCs w:val="48"/>
              </w:rPr>
              <w:t>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单价/元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（含税）金额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报价人名称：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>
            <w:pPr>
              <w:pStyle w:val="2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年   月   日</w:t>
            </w:r>
          </w:p>
        </w:tc>
      </w:tr>
    </w:tbl>
    <w:p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textAlignment w:val="bottom"/>
        <w:rPr>
          <w:rFonts w:ascii="Arial Unicode MS" w:hAnsi="Arial Unicode MS" w:eastAsia="Arial Unicode MS" w:cs="Arial Unicode MS"/>
          <w:color w:val="000000"/>
          <w:kern w:val="0"/>
          <w:sz w:val="48"/>
          <w:szCs w:val="48"/>
        </w:rPr>
      </w:pPr>
      <w:r>
        <w:rPr>
          <w:rFonts w:hint="eastAsia" w:ascii="Arial Unicode MS" w:hAnsi="Arial Unicode MS" w:eastAsia="Arial Unicode MS" w:cs="Arial Unicode MS"/>
          <w:color w:val="000000"/>
          <w:kern w:val="0"/>
          <w:sz w:val="48"/>
          <w:szCs w:val="48"/>
        </w:rPr>
        <w:t>营业执照复印件并加盖鲜章</w:t>
      </w:r>
    </w:p>
    <w:p>
      <w:pPr>
        <w:ind w:firstLine="640" w:firstLineChars="200"/>
        <w:rPr>
          <w:rFonts w:eastAsia="楷体_GB2312"/>
          <w:sz w:val="32"/>
          <w:szCs w:val="32"/>
        </w:rPr>
      </w:pPr>
    </w:p>
    <w:p>
      <w:pPr>
        <w:widowControl/>
        <w:jc w:val="center"/>
        <w:textAlignment w:val="bottom"/>
        <w:rPr>
          <w:rFonts w:ascii="Arial Unicode MS" w:hAnsi="Arial Unicode MS" w:eastAsia="Arial Unicode MS" w:cs="Arial Unicode MS"/>
          <w:color w:val="000000"/>
          <w:kern w:val="0"/>
          <w:sz w:val="48"/>
          <w:szCs w:val="4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textAlignment w:val="bottom"/>
        <w:rPr>
          <w:rFonts w:ascii="Arial Unicode MS" w:hAnsi="Arial Unicode MS" w:eastAsia="Arial Unicode MS" w:cs="Arial Unicode MS"/>
          <w:color w:val="000000"/>
          <w:kern w:val="0"/>
          <w:sz w:val="48"/>
          <w:szCs w:val="48"/>
        </w:rPr>
      </w:pPr>
      <w:r>
        <w:rPr>
          <w:rFonts w:hint="eastAsia" w:ascii="Arial Unicode MS" w:hAnsi="Arial Unicode MS" w:eastAsia="Arial Unicode MS" w:cs="Arial Unicode MS"/>
          <w:color w:val="000000"/>
          <w:kern w:val="0"/>
          <w:sz w:val="48"/>
          <w:szCs w:val="48"/>
        </w:rPr>
        <w:t>法定代表人资格证明书</w:t>
      </w:r>
    </w:p>
    <w:p>
      <w:pPr>
        <w:ind w:firstLine="640" w:firstLineChars="200"/>
        <w:rPr>
          <w:rFonts w:eastAsia="楷体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</w:rPr>
        <w:t>（法定代表人姓名）</w:t>
      </w:r>
      <w:r>
        <w:rPr>
          <w:rFonts w:hint="eastAsia" w:eastAsia="仿宋_GB2312"/>
          <w:sz w:val="32"/>
          <w:szCs w:val="32"/>
        </w:rPr>
        <w:t>系</w:t>
      </w:r>
      <w:r>
        <w:rPr>
          <w:rFonts w:hint="eastAsia" w:eastAsia="仿宋_GB2312"/>
          <w:sz w:val="32"/>
          <w:szCs w:val="32"/>
          <w:u w:val="single"/>
        </w:rPr>
        <w:t>（报价人全称）</w:t>
      </w:r>
      <w:r>
        <w:rPr>
          <w:rFonts w:hint="eastAsia" w:eastAsia="仿宋_GB2312"/>
          <w:sz w:val="32"/>
          <w:szCs w:val="32"/>
        </w:rPr>
        <w:t>的法定代表人。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</w:t>
      </w:r>
    </w:p>
    <w:p>
      <w:pPr>
        <w:rPr>
          <w:szCs w:val="28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4445" t="4445" r="6985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9pt;margin-top:10.35pt;height:103.9pt;width:209.1pt;z-index:251659264;v-text-anchor:middle;mso-width-relative:page;mso-height-relative:page;" fillcolor="#FFFFFF" filled="t" stroked="t" coordsize="21600,21600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4445" t="4445" r="1968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1pt;margin-top:10.35pt;height:103.9pt;width:206.6pt;z-index:251660288;v-text-anchor:middle;mso-width-relative:page;mso-height-relative:page;" fillcolor="#FFFFFF" filled="t" stroked="t" coordsize="21600,21600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kern w:val="0"/>
          <w:szCs w:val="28"/>
        </w:rPr>
      </w:pPr>
    </w:p>
    <w:p>
      <w:pPr>
        <w:pStyle w:val="2"/>
        <w:rPr>
          <w:szCs w:val="28"/>
        </w:rPr>
      </w:pPr>
    </w:p>
    <w:p>
      <w:pPr>
        <w:rPr>
          <w:kern w:val="0"/>
          <w:szCs w:val="28"/>
        </w:rPr>
      </w:pPr>
    </w:p>
    <w:p>
      <w:pPr>
        <w:pStyle w:val="2"/>
      </w:pPr>
    </w:p>
    <w:p>
      <w:pPr>
        <w:adjustRightInd w:val="0"/>
        <w:snapToGrid w:val="0"/>
        <w:spacing w:line="579" w:lineRule="exact"/>
        <w:ind w:left="2520" w:leftChars="9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报价人全称：（盖章）</w:t>
      </w:r>
    </w:p>
    <w:p>
      <w:pPr>
        <w:adjustRightInd w:val="0"/>
        <w:snapToGrid w:val="0"/>
        <w:spacing w:line="579" w:lineRule="exact"/>
        <w:ind w:left="2520" w:leftChars="900" w:firstLine="640" w:firstLineChars="200"/>
      </w:pPr>
      <w:r>
        <w:rPr>
          <w:rFonts w:hint="eastAsia" w:ascii="仿宋_GB2312" w:hAnsi="仿宋" w:eastAsia="仿宋_GB2312"/>
          <w:kern w:val="0"/>
          <w:sz w:val="32"/>
          <w:szCs w:val="32"/>
        </w:rPr>
        <w:t>日期：  年  月  日</w:t>
      </w:r>
    </w:p>
    <w:p>
      <w:pPr>
        <w:ind w:firstLine="5600" w:firstLineChars="1750"/>
        <w:rPr>
          <w:rFonts w:eastAsia="仿宋_GB2312"/>
          <w:kern w:val="0"/>
          <w:sz w:val="32"/>
          <w:szCs w:val="32"/>
        </w:rPr>
      </w:pPr>
    </w:p>
    <w:p>
      <w:pPr>
        <w:rPr>
          <w:kern w:val="0"/>
          <w:sz w:val="24"/>
          <w:szCs w:val="24"/>
        </w:rPr>
      </w:pPr>
    </w:p>
    <w:p>
      <w:pPr>
        <w:spacing w:line="460" w:lineRule="atLeast"/>
        <w:rPr>
          <w:rFonts w:eastAsia="黑体"/>
          <w:kern w:val="0"/>
          <w:szCs w:val="28"/>
        </w:rPr>
      </w:pPr>
      <w:r>
        <w:rPr>
          <w:rFonts w:hint="eastAsia" w:eastAsia="仿宋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>
      <w:pPr>
        <w:widowControl/>
        <w:jc w:val="center"/>
        <w:textAlignment w:val="bottom"/>
        <w:rPr>
          <w:rFonts w:ascii="Arial Unicode MS" w:hAnsi="Arial Unicode MS" w:eastAsia="Arial Unicode MS" w:cs="Arial Unicode MS"/>
          <w:color w:val="000000"/>
          <w:kern w:val="0"/>
          <w:sz w:val="48"/>
          <w:szCs w:val="48"/>
        </w:rPr>
      </w:pPr>
      <w:r>
        <w:rPr>
          <w:rFonts w:hint="eastAsia" w:ascii="Arial Unicode MS" w:hAnsi="Arial Unicode MS" w:eastAsia="Arial Unicode MS" w:cs="Arial Unicode MS"/>
          <w:color w:val="000000"/>
          <w:kern w:val="0"/>
          <w:sz w:val="48"/>
          <w:szCs w:val="48"/>
        </w:rPr>
        <w:t>法定代表人授权书</w:t>
      </w:r>
    </w:p>
    <w:p>
      <w:pPr>
        <w:ind w:firstLine="640" w:firstLineChars="200"/>
        <w:rPr>
          <w:rFonts w:eastAsia="楷体_GB2312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u w:val="single"/>
        </w:rPr>
        <w:t>（报价人全称）</w:t>
      </w:r>
      <w:r>
        <w:rPr>
          <w:rFonts w:hint="eastAsia" w:eastAsia="仿宋_GB2312"/>
          <w:kern w:val="0"/>
          <w:sz w:val="32"/>
          <w:szCs w:val="32"/>
        </w:rPr>
        <w:t>法定代表人</w:t>
      </w:r>
      <w:r>
        <w:rPr>
          <w:rFonts w:hint="eastAsia" w:eastAsia="仿宋_GB2312"/>
          <w:kern w:val="0"/>
          <w:sz w:val="32"/>
          <w:szCs w:val="32"/>
          <w:u w:val="single"/>
        </w:rPr>
        <w:t>（姓名、职务）</w:t>
      </w:r>
      <w:r>
        <w:rPr>
          <w:rFonts w:hint="eastAsia" w:eastAsia="仿宋_GB2312"/>
          <w:kern w:val="0"/>
          <w:sz w:val="32"/>
          <w:szCs w:val="32"/>
        </w:rPr>
        <w:t>授权</w:t>
      </w:r>
      <w:r>
        <w:rPr>
          <w:rFonts w:hint="eastAsia" w:eastAsia="仿宋_GB2312"/>
          <w:kern w:val="0"/>
          <w:sz w:val="32"/>
          <w:szCs w:val="32"/>
          <w:u w:val="single"/>
        </w:rPr>
        <w:t>（授权代表姓名、职务）</w:t>
      </w:r>
      <w:r>
        <w:rPr>
          <w:rFonts w:hint="eastAsia" w:eastAsia="仿宋_GB2312"/>
          <w:kern w:val="0"/>
          <w:sz w:val="32"/>
          <w:szCs w:val="32"/>
        </w:rPr>
        <w:t>为全权代表，参加贵部组织的</w:t>
      </w:r>
      <w:r>
        <w:rPr>
          <w:rFonts w:hint="eastAsia" w:eastAsia="仿宋_GB2312"/>
          <w:kern w:val="0"/>
          <w:sz w:val="32"/>
          <w:szCs w:val="32"/>
          <w:u w:val="single"/>
        </w:rPr>
        <w:t>（项目名称）</w:t>
      </w:r>
      <w:r>
        <w:rPr>
          <w:rFonts w:hint="eastAsia" w:eastAsia="仿宋_GB2312"/>
          <w:kern w:val="0"/>
          <w:sz w:val="32"/>
          <w:szCs w:val="32"/>
        </w:rPr>
        <w:t>采购活动，全权处理采购活动中的一切事宜。</w:t>
      </w:r>
    </w:p>
    <w:p>
      <w:pPr>
        <w:adjustRightInd w:val="0"/>
        <w:snapToGrid w:val="0"/>
        <w:spacing w:line="579" w:lineRule="exact"/>
        <w:ind w:left="1400" w:leftChars="5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报价人全称：（盖章）</w:t>
      </w:r>
    </w:p>
    <w:p>
      <w:pPr>
        <w:adjustRightInd w:val="0"/>
        <w:snapToGrid w:val="0"/>
        <w:spacing w:line="579" w:lineRule="exact"/>
        <w:ind w:left="1400" w:leftChars="5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/>
        </w:rPr>
        <w:t>法定代表人：（签字或盖章）</w:t>
      </w:r>
    </w:p>
    <w:p>
      <w:pPr>
        <w:ind w:firstLine="3840" w:firstLineChars="1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日期：  年   月   日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附：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授权代表姓名：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职务：电话：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传真：邮编：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通讯地址：</w:t>
      </w:r>
    </w:p>
    <w:p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21590" b="215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4.25pt;height:105.95pt;width:210.95pt;z-index:251661312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13335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15.6pt;height:104.6pt;width:211.6pt;z-index:251662336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573"/>
        <w:rPr>
          <w:kern w:val="0"/>
          <w:sz w:val="24"/>
          <w:szCs w:val="24"/>
        </w:rPr>
      </w:pPr>
    </w:p>
    <w:p>
      <w:pPr>
        <w:spacing w:line="560" w:lineRule="exact"/>
        <w:ind w:firstLine="573"/>
        <w:rPr>
          <w:kern w:val="0"/>
          <w:sz w:val="24"/>
          <w:szCs w:val="24"/>
        </w:rPr>
      </w:pPr>
    </w:p>
    <w:p>
      <w:pPr>
        <w:spacing w:line="560" w:lineRule="exact"/>
        <w:ind w:firstLine="573"/>
        <w:rPr>
          <w:kern w:val="0"/>
          <w:sz w:val="24"/>
          <w:szCs w:val="24"/>
        </w:rPr>
      </w:pPr>
    </w:p>
    <w:p>
      <w:pPr>
        <w:spacing w:line="460" w:lineRule="atLeast"/>
        <w:rPr>
          <w:rFonts w:eastAsia="仿宋"/>
          <w:color w:val="FF0000"/>
          <w:kern w:val="0"/>
        </w:rPr>
      </w:pPr>
    </w:p>
    <w:p>
      <w:pPr>
        <w:pStyle w:val="2"/>
      </w:pPr>
    </w:p>
    <w:p>
      <w:pPr>
        <w:pStyle w:val="2"/>
      </w:pPr>
      <w:r>
        <w:rPr>
          <w:rFonts w:hint="eastAsia" w:eastAsia="仿宋"/>
          <w:color w:val="FF0000"/>
        </w:rPr>
        <w:t>注：本内容适用于授权委托代理人，法定代表人授权书须法定代表人签字授权</w:t>
      </w:r>
      <w:r>
        <w:rPr>
          <w:rFonts w:hint="eastAsia" w:eastAsia="仿宋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24B8A4-402E-446B-B43C-4DB1C62FF3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34D029-885B-4E19-9B4C-D024074DDA7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A5F92A3-7B9E-42C8-A0C1-4339A1F2BA9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ABA66B35-7EAB-460C-B6FB-B8B97B55C6A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A5237B1-8684-4A8D-BDB3-C6D815D642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1CAAEAA-BAA1-44FA-A312-470AE656179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7" w:fontKey="{92AB7C49-8606-4B56-9468-56BEA2215692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aDCsYBAACb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sdoMK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single" w:color="auto" w:sz="4" w:space="1"/>
      </w:pBdr>
      <w:jc w:val="both"/>
      <w:rPr>
        <w:rFonts w:ascii="仿宋_GB2312" w:hAnsi="仿宋_GB2312" w:eastAsia="仿宋_GB2312" w:cs="仿宋_GB2312"/>
        <w:sz w:val="24"/>
        <w:szCs w:val="32"/>
      </w:rPr>
    </w:pPr>
    <w:r>
      <w:rPr>
        <w:rFonts w:hint="eastAsia" w:ascii="仿宋_GB2312" w:hAnsi="仿宋_GB2312" w:eastAsia="仿宋_GB2312" w:cs="仿宋_GB2312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C86E85"/>
    <w:multiLevelType w:val="singleLevel"/>
    <w:tmpl w:val="A7C86E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C9380A8"/>
    <w:multiLevelType w:val="singleLevel"/>
    <w:tmpl w:val="BC9380A8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abstractNum w:abstractNumId="2">
    <w:nsid w:val="E19557C6"/>
    <w:multiLevelType w:val="singleLevel"/>
    <w:tmpl w:val="E19557C6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EC59344E"/>
    <w:multiLevelType w:val="singleLevel"/>
    <w:tmpl w:val="EC59344E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abstractNum w:abstractNumId="4">
    <w:nsid w:val="0A8B2948"/>
    <w:multiLevelType w:val="multilevel"/>
    <w:tmpl w:val="0A8B2948"/>
    <w:lvl w:ilvl="0" w:tentative="0">
      <w:start w:val="1"/>
      <w:numFmt w:val="decimal"/>
      <w:lvlText w:val="（%1）"/>
      <w:lvlJc w:val="left"/>
      <w:pPr>
        <w:ind w:left="724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64" w:hanging="440"/>
      </w:pPr>
    </w:lvl>
    <w:lvl w:ilvl="2" w:tentative="0">
      <w:start w:val="1"/>
      <w:numFmt w:val="lowerRoman"/>
      <w:lvlText w:val="%3."/>
      <w:lvlJc w:val="right"/>
      <w:pPr>
        <w:ind w:left="1604" w:hanging="440"/>
      </w:pPr>
    </w:lvl>
    <w:lvl w:ilvl="3" w:tentative="0">
      <w:start w:val="1"/>
      <w:numFmt w:val="decimal"/>
      <w:lvlText w:val="%4."/>
      <w:lvlJc w:val="left"/>
      <w:pPr>
        <w:ind w:left="2044" w:hanging="440"/>
      </w:pPr>
    </w:lvl>
    <w:lvl w:ilvl="4" w:tentative="0">
      <w:start w:val="1"/>
      <w:numFmt w:val="lowerLetter"/>
      <w:lvlText w:val="%5)"/>
      <w:lvlJc w:val="left"/>
      <w:pPr>
        <w:ind w:left="2484" w:hanging="440"/>
      </w:pPr>
    </w:lvl>
    <w:lvl w:ilvl="5" w:tentative="0">
      <w:start w:val="1"/>
      <w:numFmt w:val="lowerRoman"/>
      <w:lvlText w:val="%6."/>
      <w:lvlJc w:val="right"/>
      <w:pPr>
        <w:ind w:left="2924" w:hanging="440"/>
      </w:pPr>
    </w:lvl>
    <w:lvl w:ilvl="6" w:tentative="0">
      <w:start w:val="1"/>
      <w:numFmt w:val="decimal"/>
      <w:lvlText w:val="%7."/>
      <w:lvlJc w:val="left"/>
      <w:pPr>
        <w:ind w:left="3364" w:hanging="440"/>
      </w:pPr>
    </w:lvl>
    <w:lvl w:ilvl="7" w:tentative="0">
      <w:start w:val="1"/>
      <w:numFmt w:val="lowerLetter"/>
      <w:lvlText w:val="%8)"/>
      <w:lvlJc w:val="left"/>
      <w:pPr>
        <w:ind w:left="3804" w:hanging="440"/>
      </w:pPr>
    </w:lvl>
    <w:lvl w:ilvl="8" w:tentative="0">
      <w:start w:val="1"/>
      <w:numFmt w:val="lowerRoman"/>
      <w:lvlText w:val="%9."/>
      <w:lvlJc w:val="right"/>
      <w:pPr>
        <w:ind w:left="4244" w:hanging="440"/>
      </w:pPr>
    </w:lvl>
  </w:abstractNum>
  <w:abstractNum w:abstractNumId="5">
    <w:nsid w:val="10C74911"/>
    <w:multiLevelType w:val="multilevel"/>
    <w:tmpl w:val="10C74911"/>
    <w:lvl w:ilvl="0" w:tentative="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241D3529"/>
    <w:multiLevelType w:val="multilevel"/>
    <w:tmpl w:val="241D3529"/>
    <w:lvl w:ilvl="0" w:tentative="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2A065D4E"/>
    <w:multiLevelType w:val="multilevel"/>
    <w:tmpl w:val="2A065D4E"/>
    <w:lvl w:ilvl="0" w:tentative="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2D6957DB"/>
    <w:multiLevelType w:val="multilevel"/>
    <w:tmpl w:val="2D6957DB"/>
    <w:lvl w:ilvl="0" w:tentative="0">
      <w:start w:val="1"/>
      <w:numFmt w:val="decimal"/>
      <w:lvlText w:val="%1."/>
      <w:lvlJc w:val="left"/>
      <w:pPr>
        <w:ind w:left="1083" w:hanging="440"/>
      </w:pPr>
    </w:lvl>
    <w:lvl w:ilvl="1" w:tentative="0">
      <w:start w:val="1"/>
      <w:numFmt w:val="lowerLetter"/>
      <w:lvlText w:val="%2)"/>
      <w:lvlJc w:val="left"/>
      <w:pPr>
        <w:ind w:left="1523" w:hanging="440"/>
      </w:p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abstractNum w:abstractNumId="9">
    <w:nsid w:val="344A34C4"/>
    <w:multiLevelType w:val="multilevel"/>
    <w:tmpl w:val="344A34C4"/>
    <w:lvl w:ilvl="0" w:tentative="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3E9105AB"/>
    <w:multiLevelType w:val="multilevel"/>
    <w:tmpl w:val="3E9105AB"/>
    <w:lvl w:ilvl="0" w:tentative="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40CF0739"/>
    <w:multiLevelType w:val="multilevel"/>
    <w:tmpl w:val="40CF0739"/>
    <w:lvl w:ilvl="0" w:tentative="0">
      <w:start w:val="1"/>
      <w:numFmt w:val="decimal"/>
      <w:lvlText w:val="%1."/>
      <w:lvlJc w:val="left"/>
      <w:pPr>
        <w:ind w:left="1083" w:hanging="440"/>
      </w:pPr>
    </w:lvl>
    <w:lvl w:ilvl="1" w:tentative="0">
      <w:start w:val="1"/>
      <w:numFmt w:val="lowerLetter"/>
      <w:lvlText w:val="%2)"/>
      <w:lvlJc w:val="left"/>
      <w:pPr>
        <w:ind w:left="1523" w:hanging="440"/>
      </w:p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abstractNum w:abstractNumId="12">
    <w:nsid w:val="4B083B94"/>
    <w:multiLevelType w:val="multilevel"/>
    <w:tmpl w:val="4B083B94"/>
    <w:lvl w:ilvl="0" w:tentative="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4B3A2D6E"/>
    <w:multiLevelType w:val="multilevel"/>
    <w:tmpl w:val="4B3A2D6E"/>
    <w:lvl w:ilvl="0" w:tentative="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5FE935D1"/>
    <w:multiLevelType w:val="multilevel"/>
    <w:tmpl w:val="5FE935D1"/>
    <w:lvl w:ilvl="0" w:tentative="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759F1612"/>
    <w:multiLevelType w:val="multilevel"/>
    <w:tmpl w:val="759F1612"/>
    <w:lvl w:ilvl="0" w:tentative="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1"/>
  </w:num>
  <w:num w:numId="6">
    <w:abstractNumId w:val="4"/>
  </w:num>
  <w:num w:numId="7">
    <w:abstractNumId w:val="6"/>
  </w:num>
  <w:num w:numId="8">
    <w:abstractNumId w:val="5"/>
  </w:num>
  <w:num w:numId="9">
    <w:abstractNumId w:val="14"/>
  </w:num>
  <w:num w:numId="10">
    <w:abstractNumId w:val="10"/>
  </w:num>
  <w:num w:numId="11">
    <w:abstractNumId w:val="13"/>
  </w:num>
  <w:num w:numId="12">
    <w:abstractNumId w:val="15"/>
  </w:num>
  <w:num w:numId="13">
    <w:abstractNumId w:val="7"/>
  </w:num>
  <w:num w:numId="14">
    <w:abstractNumId w:val="9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YzM2RlYzZhZDQ1MjM4OWJhNzU5NDBjOGZmYWQ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70026"/>
    <w:rsid w:val="0007370D"/>
    <w:rsid w:val="000770DD"/>
    <w:rsid w:val="00082AEF"/>
    <w:rsid w:val="00083364"/>
    <w:rsid w:val="00091B84"/>
    <w:rsid w:val="000A5D46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7BAB"/>
    <w:rsid w:val="00131918"/>
    <w:rsid w:val="00137C02"/>
    <w:rsid w:val="0014076F"/>
    <w:rsid w:val="00170DB6"/>
    <w:rsid w:val="0017159F"/>
    <w:rsid w:val="001716CA"/>
    <w:rsid w:val="001716F0"/>
    <w:rsid w:val="00171D5C"/>
    <w:rsid w:val="001720AC"/>
    <w:rsid w:val="001A1E77"/>
    <w:rsid w:val="001B15BA"/>
    <w:rsid w:val="001B29BC"/>
    <w:rsid w:val="001C078F"/>
    <w:rsid w:val="001C3A2E"/>
    <w:rsid w:val="001C7FAA"/>
    <w:rsid w:val="001D3DC1"/>
    <w:rsid w:val="001D6F95"/>
    <w:rsid w:val="001E463B"/>
    <w:rsid w:val="001F2136"/>
    <w:rsid w:val="001F676A"/>
    <w:rsid w:val="0020164F"/>
    <w:rsid w:val="00203263"/>
    <w:rsid w:val="00203C5A"/>
    <w:rsid w:val="00204B6A"/>
    <w:rsid w:val="002132D1"/>
    <w:rsid w:val="00214897"/>
    <w:rsid w:val="0021520F"/>
    <w:rsid w:val="002361DB"/>
    <w:rsid w:val="00260514"/>
    <w:rsid w:val="00264888"/>
    <w:rsid w:val="00271032"/>
    <w:rsid w:val="0028424C"/>
    <w:rsid w:val="002877B2"/>
    <w:rsid w:val="00293B2B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32201"/>
    <w:rsid w:val="00332BEF"/>
    <w:rsid w:val="00352D17"/>
    <w:rsid w:val="00352D72"/>
    <w:rsid w:val="003706E3"/>
    <w:rsid w:val="0037349A"/>
    <w:rsid w:val="003A0F0C"/>
    <w:rsid w:val="003A2CC4"/>
    <w:rsid w:val="003B379C"/>
    <w:rsid w:val="003D3A7D"/>
    <w:rsid w:val="003E4694"/>
    <w:rsid w:val="0041298A"/>
    <w:rsid w:val="00412A87"/>
    <w:rsid w:val="00414521"/>
    <w:rsid w:val="00421048"/>
    <w:rsid w:val="004223BD"/>
    <w:rsid w:val="00422928"/>
    <w:rsid w:val="00422A65"/>
    <w:rsid w:val="0043247E"/>
    <w:rsid w:val="0044132E"/>
    <w:rsid w:val="00445A14"/>
    <w:rsid w:val="00450B3D"/>
    <w:rsid w:val="00454FB6"/>
    <w:rsid w:val="00477571"/>
    <w:rsid w:val="004A092D"/>
    <w:rsid w:val="004A15F8"/>
    <w:rsid w:val="004A36DD"/>
    <w:rsid w:val="004B2397"/>
    <w:rsid w:val="004C5882"/>
    <w:rsid w:val="004C5F49"/>
    <w:rsid w:val="004D18A3"/>
    <w:rsid w:val="004D2004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5B3B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3B7E"/>
    <w:rsid w:val="005D4297"/>
    <w:rsid w:val="005E4B2B"/>
    <w:rsid w:val="005E5C21"/>
    <w:rsid w:val="005F3F5E"/>
    <w:rsid w:val="005F4DD7"/>
    <w:rsid w:val="0061547C"/>
    <w:rsid w:val="006337FD"/>
    <w:rsid w:val="00634B3A"/>
    <w:rsid w:val="00665A8C"/>
    <w:rsid w:val="00666E2C"/>
    <w:rsid w:val="00677DBB"/>
    <w:rsid w:val="00685CBC"/>
    <w:rsid w:val="00686328"/>
    <w:rsid w:val="006A0182"/>
    <w:rsid w:val="006B3E2F"/>
    <w:rsid w:val="006B7E39"/>
    <w:rsid w:val="006D1AE1"/>
    <w:rsid w:val="006D7B74"/>
    <w:rsid w:val="006E797E"/>
    <w:rsid w:val="006F11AE"/>
    <w:rsid w:val="006F1A9D"/>
    <w:rsid w:val="00700171"/>
    <w:rsid w:val="0071366D"/>
    <w:rsid w:val="00715726"/>
    <w:rsid w:val="00720916"/>
    <w:rsid w:val="00730E3E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91354"/>
    <w:rsid w:val="007A0DC5"/>
    <w:rsid w:val="007C0F35"/>
    <w:rsid w:val="007C4F70"/>
    <w:rsid w:val="007D470A"/>
    <w:rsid w:val="007D592E"/>
    <w:rsid w:val="007F0121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0600"/>
    <w:rsid w:val="008668B9"/>
    <w:rsid w:val="008777EB"/>
    <w:rsid w:val="008B04DE"/>
    <w:rsid w:val="008B6C3D"/>
    <w:rsid w:val="008C24E6"/>
    <w:rsid w:val="008C3CEF"/>
    <w:rsid w:val="008C481B"/>
    <w:rsid w:val="008D03DD"/>
    <w:rsid w:val="008D58D2"/>
    <w:rsid w:val="008F06D9"/>
    <w:rsid w:val="008F736E"/>
    <w:rsid w:val="0092443A"/>
    <w:rsid w:val="0092462D"/>
    <w:rsid w:val="0094241D"/>
    <w:rsid w:val="009438A5"/>
    <w:rsid w:val="00944BB6"/>
    <w:rsid w:val="00947DAF"/>
    <w:rsid w:val="0095172E"/>
    <w:rsid w:val="009620D3"/>
    <w:rsid w:val="00972FEA"/>
    <w:rsid w:val="00974EBD"/>
    <w:rsid w:val="00981735"/>
    <w:rsid w:val="00986B25"/>
    <w:rsid w:val="009915C8"/>
    <w:rsid w:val="009A4430"/>
    <w:rsid w:val="009A5867"/>
    <w:rsid w:val="009A7C84"/>
    <w:rsid w:val="009A7FAF"/>
    <w:rsid w:val="009B25D0"/>
    <w:rsid w:val="009B642A"/>
    <w:rsid w:val="009B7C47"/>
    <w:rsid w:val="009C7FB4"/>
    <w:rsid w:val="009E2897"/>
    <w:rsid w:val="00A134B4"/>
    <w:rsid w:val="00A14E54"/>
    <w:rsid w:val="00A3195B"/>
    <w:rsid w:val="00A40F31"/>
    <w:rsid w:val="00A419E6"/>
    <w:rsid w:val="00A81862"/>
    <w:rsid w:val="00A8190E"/>
    <w:rsid w:val="00A81F44"/>
    <w:rsid w:val="00A8220C"/>
    <w:rsid w:val="00A9081C"/>
    <w:rsid w:val="00A9126D"/>
    <w:rsid w:val="00A9792A"/>
    <w:rsid w:val="00AA393F"/>
    <w:rsid w:val="00AA39CB"/>
    <w:rsid w:val="00AB5FDC"/>
    <w:rsid w:val="00AC1483"/>
    <w:rsid w:val="00AC5063"/>
    <w:rsid w:val="00AF3591"/>
    <w:rsid w:val="00B15F80"/>
    <w:rsid w:val="00B23BB9"/>
    <w:rsid w:val="00B24C79"/>
    <w:rsid w:val="00B25D61"/>
    <w:rsid w:val="00B509C7"/>
    <w:rsid w:val="00B51B88"/>
    <w:rsid w:val="00B529B0"/>
    <w:rsid w:val="00B66C53"/>
    <w:rsid w:val="00B740F3"/>
    <w:rsid w:val="00B81310"/>
    <w:rsid w:val="00B853B1"/>
    <w:rsid w:val="00B96048"/>
    <w:rsid w:val="00BA1877"/>
    <w:rsid w:val="00BA1A3C"/>
    <w:rsid w:val="00BC7B4B"/>
    <w:rsid w:val="00BD32AB"/>
    <w:rsid w:val="00BF0416"/>
    <w:rsid w:val="00C020E5"/>
    <w:rsid w:val="00C0658C"/>
    <w:rsid w:val="00C12587"/>
    <w:rsid w:val="00C1625D"/>
    <w:rsid w:val="00C206A6"/>
    <w:rsid w:val="00C32703"/>
    <w:rsid w:val="00C35B08"/>
    <w:rsid w:val="00C463DB"/>
    <w:rsid w:val="00C5176F"/>
    <w:rsid w:val="00C55921"/>
    <w:rsid w:val="00C85D94"/>
    <w:rsid w:val="00C873F4"/>
    <w:rsid w:val="00C87CA5"/>
    <w:rsid w:val="00C901E6"/>
    <w:rsid w:val="00C90292"/>
    <w:rsid w:val="00C91ED5"/>
    <w:rsid w:val="00C94925"/>
    <w:rsid w:val="00CC653E"/>
    <w:rsid w:val="00CC6727"/>
    <w:rsid w:val="00CC694D"/>
    <w:rsid w:val="00CC729E"/>
    <w:rsid w:val="00CD2E04"/>
    <w:rsid w:val="00CF1DCE"/>
    <w:rsid w:val="00D03BD2"/>
    <w:rsid w:val="00D050B2"/>
    <w:rsid w:val="00D06112"/>
    <w:rsid w:val="00D06506"/>
    <w:rsid w:val="00D47737"/>
    <w:rsid w:val="00D50775"/>
    <w:rsid w:val="00D6301B"/>
    <w:rsid w:val="00D677A6"/>
    <w:rsid w:val="00D958FB"/>
    <w:rsid w:val="00DA1664"/>
    <w:rsid w:val="00DA1D7A"/>
    <w:rsid w:val="00DA7497"/>
    <w:rsid w:val="00DC107C"/>
    <w:rsid w:val="00DC14C1"/>
    <w:rsid w:val="00DC2C69"/>
    <w:rsid w:val="00DD2719"/>
    <w:rsid w:val="00DD2937"/>
    <w:rsid w:val="00DE1206"/>
    <w:rsid w:val="00DF5C20"/>
    <w:rsid w:val="00E01BE1"/>
    <w:rsid w:val="00E06491"/>
    <w:rsid w:val="00E066F0"/>
    <w:rsid w:val="00E069F9"/>
    <w:rsid w:val="00E167C3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137A"/>
    <w:rsid w:val="00E849E9"/>
    <w:rsid w:val="00E8652F"/>
    <w:rsid w:val="00E9542D"/>
    <w:rsid w:val="00E97744"/>
    <w:rsid w:val="00EB551D"/>
    <w:rsid w:val="00EB6628"/>
    <w:rsid w:val="00EC1556"/>
    <w:rsid w:val="00ED47FF"/>
    <w:rsid w:val="00EE6576"/>
    <w:rsid w:val="00F05475"/>
    <w:rsid w:val="00F11157"/>
    <w:rsid w:val="00F15D9A"/>
    <w:rsid w:val="00F3163F"/>
    <w:rsid w:val="00F3193C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E0F07"/>
    <w:rsid w:val="00FF2B5F"/>
    <w:rsid w:val="00FF590C"/>
    <w:rsid w:val="057D419D"/>
    <w:rsid w:val="07E34A3F"/>
    <w:rsid w:val="09420C01"/>
    <w:rsid w:val="09B305E8"/>
    <w:rsid w:val="0B0C1D12"/>
    <w:rsid w:val="0B47616D"/>
    <w:rsid w:val="0B624DD8"/>
    <w:rsid w:val="10F3685C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F12096"/>
    <w:rsid w:val="42BE57D3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A3A31B3"/>
    <w:rsid w:val="5E6E102A"/>
    <w:rsid w:val="68B27EEE"/>
    <w:rsid w:val="6B8B6553"/>
    <w:rsid w:val="6CF509AA"/>
    <w:rsid w:val="6D9A218A"/>
    <w:rsid w:val="6EFC7023"/>
    <w:rsid w:val="702E553E"/>
    <w:rsid w:val="70387D12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120" w:line="275" w:lineRule="atLeast"/>
      <w:textAlignment w:val="baseline"/>
    </w:pPr>
  </w:style>
  <w:style w:type="paragraph" w:styleId="3">
    <w:name w:val="Body Text"/>
    <w:basedOn w:val="1"/>
    <w:next w:val="1"/>
    <w:qFormat/>
    <w:uiPriority w:val="0"/>
    <w:rPr>
      <w:kern w:val="0"/>
      <w:szCs w:val="24"/>
    </w:rPr>
  </w:style>
  <w:style w:type="paragraph" w:styleId="8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9">
    <w:name w:val="Document Map"/>
    <w:basedOn w:val="1"/>
    <w:link w:val="39"/>
    <w:semiHidden/>
    <w:unhideWhenUsed/>
    <w:qFormat/>
    <w:uiPriority w:val="99"/>
    <w:rPr>
      <w:rFonts w:ascii="宋体"/>
      <w:sz w:val="18"/>
      <w:szCs w:val="18"/>
    </w:rPr>
  </w:style>
  <w:style w:type="paragraph" w:styleId="10">
    <w:name w:val="annotation text"/>
    <w:basedOn w:val="1"/>
    <w:semiHidden/>
    <w:unhideWhenUsed/>
    <w:qFormat/>
    <w:uiPriority w:val="99"/>
    <w:pPr>
      <w:jc w:val="left"/>
    </w:pPr>
  </w:style>
  <w:style w:type="paragraph" w:styleId="11">
    <w:name w:val="Body Text Indent"/>
    <w:basedOn w:val="1"/>
    <w:link w:val="31"/>
    <w:qFormat/>
    <w:uiPriority w:val="0"/>
    <w:pPr>
      <w:spacing w:line="700" w:lineRule="exact"/>
      <w:ind w:left="960"/>
    </w:pPr>
    <w:rPr>
      <w:sz w:val="44"/>
    </w:rPr>
  </w:style>
  <w:style w:type="paragraph" w:styleId="12">
    <w:name w:val="Date"/>
    <w:basedOn w:val="1"/>
    <w:next w:val="1"/>
    <w:link w:val="38"/>
    <w:qFormat/>
    <w:uiPriority w:val="0"/>
  </w:style>
  <w:style w:type="paragraph" w:styleId="13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17">
    <w:name w:val="Subtitle"/>
    <w:basedOn w:val="1"/>
    <w:next w:val="1"/>
    <w:qFormat/>
    <w:uiPriority w:val="99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18">
    <w:name w:val="toc 2"/>
    <w:basedOn w:val="1"/>
    <w:next w:val="1"/>
    <w:qFormat/>
    <w:uiPriority w:val="39"/>
    <w:pPr>
      <w:tabs>
        <w:tab w:val="right" w:leader="dot" w:pos="8400"/>
      </w:tabs>
      <w:spacing w:line="440" w:lineRule="exact"/>
      <w:ind w:left="280" w:leftChars="100" w:right="-91" w:rightChars="-91"/>
    </w:pPr>
  </w:style>
  <w:style w:type="paragraph" w:styleId="1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页眉 Char"/>
    <w:basedOn w:val="22"/>
    <w:link w:val="15"/>
    <w:qFormat/>
    <w:uiPriority w:val="0"/>
    <w:rPr>
      <w:sz w:val="18"/>
      <w:szCs w:val="18"/>
    </w:rPr>
  </w:style>
  <w:style w:type="character" w:customStyle="1" w:styleId="27">
    <w:name w:val="页脚 Char"/>
    <w:basedOn w:val="22"/>
    <w:link w:val="14"/>
    <w:qFormat/>
    <w:uiPriority w:val="0"/>
    <w:rPr>
      <w:sz w:val="18"/>
      <w:szCs w:val="18"/>
    </w:rPr>
  </w:style>
  <w:style w:type="character" w:customStyle="1" w:styleId="28">
    <w:name w:val="标题 1 Char"/>
    <w:basedOn w:val="22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9">
    <w:name w:val="标题 2 Char"/>
    <w:basedOn w:val="22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标题 3 Char"/>
    <w:basedOn w:val="22"/>
    <w:link w:val="6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1">
    <w:name w:val="正文文本缩进 Char"/>
    <w:basedOn w:val="22"/>
    <w:link w:val="11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32">
    <w:name w:val="批注框文本 Char"/>
    <w:basedOn w:val="22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正文文本_"/>
    <w:link w:val="34"/>
    <w:qFormat/>
    <w:uiPriority w:val="0"/>
    <w:rPr>
      <w:rFonts w:ascii="MingLiU" w:hAnsi="MingLiU" w:eastAsia="MingLiU" w:cs="MingLiU"/>
      <w:spacing w:val="20"/>
      <w:sz w:val="31"/>
      <w:szCs w:val="31"/>
      <w:shd w:val="clear" w:color="auto" w:fill="FFFFFF"/>
    </w:rPr>
  </w:style>
  <w:style w:type="paragraph" w:customStyle="1" w:styleId="34">
    <w:name w:val="正文文本2"/>
    <w:basedOn w:val="1"/>
    <w:link w:val="33"/>
    <w:qFormat/>
    <w:uiPriority w:val="0"/>
    <w:pPr>
      <w:shd w:val="clear" w:color="auto" w:fill="FFFFFF"/>
      <w:spacing w:before="540" w:line="586" w:lineRule="exact"/>
      <w:ind w:hanging="940"/>
      <w:jc w:val="distribute"/>
    </w:pPr>
    <w:rPr>
      <w:rFonts w:ascii="MingLiU" w:hAnsi="MingLiU" w:eastAsia="MingLiU" w:cs="MingLiU"/>
      <w:spacing w:val="20"/>
      <w:sz w:val="31"/>
      <w:szCs w:val="31"/>
    </w:rPr>
  </w:style>
  <w:style w:type="paragraph" w:styleId="35">
    <w:name w:val="List Paragraph"/>
    <w:basedOn w:val="1"/>
    <w:link w:val="36"/>
    <w:qFormat/>
    <w:uiPriority w:val="34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36">
    <w:name w:val="列出段落 Char"/>
    <w:link w:val="35"/>
    <w:qFormat/>
    <w:locked/>
    <w:uiPriority w:val="34"/>
    <w:rPr>
      <w:rFonts w:ascii="Calibri" w:hAnsi="Calibri" w:eastAsia="宋体" w:cs="Times New Roman"/>
      <w:kern w:val="0"/>
      <w:sz w:val="22"/>
      <w:lang w:eastAsia="en-US" w:bidi="en-US"/>
    </w:rPr>
  </w:style>
  <w:style w:type="paragraph" w:customStyle="1" w:styleId="37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38">
    <w:name w:val="日期 Char"/>
    <w:basedOn w:val="22"/>
    <w:link w:val="12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39">
    <w:name w:val="文档结构图 Char"/>
    <w:basedOn w:val="22"/>
    <w:link w:val="9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40">
    <w:name w:val="副标题（正）"/>
    <w:basedOn w:val="1"/>
    <w:next w:val="1"/>
    <w:qFormat/>
    <w:uiPriority w:val="0"/>
    <w:pPr>
      <w:spacing w:line="360" w:lineRule="auto"/>
      <w:jc w:val="center"/>
    </w:pPr>
    <w:rPr>
      <w:rFonts w:ascii="Calibri" w:hAnsi="Calibri" w:eastAsia="Arial Unicode MS"/>
      <w:sz w:val="44"/>
      <w:szCs w:val="24"/>
    </w:rPr>
  </w:style>
  <w:style w:type="paragraph" w:customStyle="1" w:styleId="41">
    <w:name w:val="列出段落1"/>
    <w:basedOn w:val="1"/>
    <w:qFormat/>
    <w:uiPriority w:val="0"/>
    <w:pPr>
      <w:ind w:firstLine="420" w:firstLineChars="200"/>
    </w:pPr>
    <w:rPr>
      <w:kern w:val="0"/>
      <w:sz w:val="24"/>
      <w:szCs w:val="24"/>
    </w:rPr>
  </w:style>
  <w:style w:type="character" w:customStyle="1" w:styleId="42">
    <w:name w:val="font51"/>
    <w:basedOn w:val="22"/>
    <w:qFormat/>
    <w:uiPriority w:val="0"/>
    <w:rPr>
      <w:rFonts w:hint="eastAsia" w:ascii="Arial Unicode MS" w:hAnsi="Arial Unicode MS" w:eastAsia="Arial Unicode MS" w:cs="Arial Unicode MS"/>
      <w:color w:val="000000"/>
      <w:sz w:val="52"/>
      <w:szCs w:val="52"/>
      <w:u w:val="single"/>
    </w:rPr>
  </w:style>
  <w:style w:type="character" w:customStyle="1" w:styleId="43">
    <w:name w:val="font61"/>
    <w:basedOn w:val="22"/>
    <w:qFormat/>
    <w:uiPriority w:val="0"/>
    <w:rPr>
      <w:rFonts w:hint="eastAsia" w:ascii="Arial Unicode MS" w:hAnsi="Arial Unicode MS" w:eastAsia="Arial Unicode MS" w:cs="Arial Unicode MS"/>
      <w:i/>
      <w:iCs/>
      <w:color w:val="000000"/>
      <w:sz w:val="52"/>
      <w:szCs w:val="52"/>
      <w:u w:val="single"/>
    </w:rPr>
  </w:style>
  <w:style w:type="character" w:customStyle="1" w:styleId="44">
    <w:name w:val="font41"/>
    <w:basedOn w:val="22"/>
    <w:qFormat/>
    <w:uiPriority w:val="0"/>
    <w:rPr>
      <w:rFonts w:hint="eastAsia" w:ascii="Arial Unicode MS" w:hAnsi="Arial Unicode MS" w:eastAsia="Arial Unicode MS" w:cs="Arial Unicode MS"/>
      <w:color w:val="000000"/>
      <w:sz w:val="52"/>
      <w:szCs w:val="52"/>
      <w:u w:val="none"/>
    </w:rPr>
  </w:style>
  <w:style w:type="character" w:customStyle="1" w:styleId="45">
    <w:name w:val="NormalCharact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430</Words>
  <Characters>2451</Characters>
  <Lines>20</Lines>
  <Paragraphs>5</Paragraphs>
  <TotalTime>1</TotalTime>
  <ScaleCrop>false</ScaleCrop>
  <LinksUpToDate>false</LinksUpToDate>
  <CharactersWithSpaces>2876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2023-07-21T08:25:00Z</dcterms:created>
  <dc:creator>微软用户</dc:creator>
  <cp:lastModifiedBy>网络中心值班</cp:lastModifiedBy>
  <cp:lastPrinted>2023-07-21T08:18:00Z</cp:lastPrinted>
  <dcterms:modified xsi:type="dcterms:W3CDTF">2023-08-29T09:02:14Z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F1B9A59513CC4ABEA60DD0B36B152C58_13</vt:lpwstr>
  </property>
</Properties>
</file>