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hint="eastAsia" w:ascii="Times New Roman" w:hAnsi="Times New Roman" w:eastAsia="方正小标宋简体" w:cs="Times New Roman"/>
          <w:kern w:val="2"/>
          <w:sz w:val="84"/>
          <w:szCs w:val="84"/>
        </w:rPr>
        <w:t>竞争性谈判</w:t>
      </w:r>
      <w:r>
        <w:rPr>
          <w:rFonts w:ascii="Times New Roman" w:hAnsi="Times New Roman" w:eastAsia="方正小标宋简体" w:cs="Times New Roman"/>
          <w:kern w:val="2"/>
          <w:sz w:val="84"/>
          <w:szCs w:val="84"/>
        </w:rPr>
        <w:t>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ascii="Times New Roman" w:hAnsi="Times New Roman" w:eastAsia="方正小标宋简体" w:cs="Times New Roman"/>
          <w:kern w:val="2"/>
          <w:sz w:val="96"/>
          <w:szCs w:val="130"/>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rPr>
        <w:t xml:space="preserve">  台式大容量冷冻离心机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rPr>
        <w:t>三</w:t>
      </w:r>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p>
    <w:p>
      <w:pPr>
        <w:pStyle w:val="23"/>
        <w:spacing w:before="240"/>
      </w:pPr>
      <w:r>
        <w:rPr>
          <w:rFonts w:hint="eastAsia"/>
        </w:rPr>
        <w:t>目   录</w:t>
      </w:r>
    </w:p>
    <w:p>
      <w:pPr>
        <w:ind w:firstLine="560"/>
      </w:pPr>
    </w:p>
    <w:p>
      <w:pPr>
        <w:pStyle w:val="11"/>
        <w:tabs>
          <w:tab w:val="right" w:leader="dot" w:pos="8306"/>
        </w:tabs>
      </w:pPr>
      <w:r>
        <w:fldChar w:fldCharType="begin"/>
      </w:r>
      <w:r>
        <w:instrText xml:space="preserve">TOC \o "1-1" \h \u </w:instrText>
      </w:r>
      <w:r>
        <w:fldChar w:fldCharType="separate"/>
      </w:r>
      <w:r>
        <w:fldChar w:fldCharType="begin"/>
      </w:r>
      <w:r>
        <w:instrText xml:space="preserve"> HYPERLINK \l "_Toc6271" </w:instrText>
      </w:r>
      <w:r>
        <w:fldChar w:fldCharType="separate"/>
      </w:r>
      <w:r>
        <w:rPr>
          <w:rFonts w:hint="eastAsia"/>
        </w:rPr>
        <w:t>前附表</w:t>
      </w:r>
      <w:r>
        <w:rPr>
          <w:rFonts w:hint="eastAsia"/>
        </w:rPr>
        <w:fldChar w:fldCharType="end"/>
      </w:r>
    </w:p>
    <w:p>
      <w:pPr>
        <w:pStyle w:val="11"/>
        <w:tabs>
          <w:tab w:val="right" w:leader="dot" w:pos="8306"/>
        </w:tabs>
      </w:pPr>
      <w:r>
        <w:fldChar w:fldCharType="begin"/>
      </w:r>
      <w:r>
        <w:instrText xml:space="preserve"> HYPERLINK \l "_Toc27321" </w:instrText>
      </w:r>
      <w:r>
        <w:fldChar w:fldCharType="separate"/>
      </w:r>
      <w:r>
        <w:t xml:space="preserve">第一部分  </w:t>
      </w:r>
      <w:r>
        <w:rPr>
          <w:rFonts w:hint="eastAsia"/>
        </w:rPr>
        <w:t>竞争性谈判公告</w:t>
      </w:r>
      <w:r>
        <w:tab/>
      </w:r>
      <w:r>
        <w:fldChar w:fldCharType="begin"/>
      </w:r>
      <w:r>
        <w:instrText xml:space="preserve"> PAGEREF _Toc27321 \h </w:instrText>
      </w:r>
      <w:r>
        <w:fldChar w:fldCharType="separate"/>
      </w:r>
      <w:r>
        <w:t>1</w:t>
      </w:r>
      <w:r>
        <w:fldChar w:fldCharType="end"/>
      </w:r>
      <w:r>
        <w:fldChar w:fldCharType="end"/>
      </w:r>
    </w:p>
    <w:p>
      <w:pPr>
        <w:pStyle w:val="11"/>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rPr>
        <w:t>谈判须知</w:t>
      </w:r>
      <w:r>
        <w:tab/>
      </w:r>
      <w:r>
        <w:rPr>
          <w:rFonts w:hint="eastAsia"/>
        </w:rPr>
        <w:t>4</w:t>
      </w:r>
      <w:r>
        <w:rPr>
          <w:rFonts w:hint="eastAsia"/>
        </w:rPr>
        <w:fldChar w:fldCharType="end"/>
      </w:r>
    </w:p>
    <w:p>
      <w:pPr>
        <w:pStyle w:val="11"/>
        <w:tabs>
          <w:tab w:val="right" w:leader="dot" w:pos="8306"/>
        </w:tabs>
      </w:pPr>
      <w:r>
        <w:fldChar w:fldCharType="begin"/>
      </w:r>
      <w:r>
        <w:instrText xml:space="preserve"> HYPERLINK \l "_Toc9471" </w:instrText>
      </w:r>
      <w:r>
        <w:fldChar w:fldCharType="separate"/>
      </w:r>
      <w:r>
        <w:t xml:space="preserve">第三部分  </w:t>
      </w:r>
      <w:r>
        <w:rPr>
          <w:rFonts w:hint="eastAsia"/>
        </w:rPr>
        <w:t>商务与技术需求</w:t>
      </w:r>
      <w:r>
        <w:tab/>
      </w:r>
      <w:r>
        <w:rPr>
          <w:rFonts w:hint="eastAsia"/>
        </w:rPr>
        <w:t>4</w:t>
      </w:r>
      <w:r>
        <w:rPr>
          <w:rFonts w:hint="eastAsia"/>
        </w:rPr>
        <w:fldChar w:fldCharType="end"/>
      </w:r>
      <w:r>
        <w:rPr>
          <w:rFonts w:hint="eastAsia"/>
        </w:rPr>
        <w:t>7</w:t>
      </w:r>
    </w:p>
    <w:p>
      <w:pPr>
        <w:pStyle w:val="11"/>
        <w:tabs>
          <w:tab w:val="right" w:leader="dot" w:pos="8306"/>
        </w:tabs>
      </w:pPr>
      <w:r>
        <w:fldChar w:fldCharType="begin"/>
      </w:r>
      <w:r>
        <w:instrText xml:space="preserve"> HYPERLINK \l "_Toc9168" </w:instrText>
      </w:r>
      <w:r>
        <w:fldChar w:fldCharType="separate"/>
      </w:r>
      <w:r>
        <w:t>第</w:t>
      </w:r>
      <w:r>
        <w:rPr>
          <w:rFonts w:hint="eastAsia"/>
        </w:rPr>
        <w:t>四</w:t>
      </w:r>
      <w:r>
        <w:t xml:space="preserve">部分  </w:t>
      </w:r>
      <w:r>
        <w:rPr>
          <w:rFonts w:hint="eastAsia"/>
          <w:szCs w:val="44"/>
          <w:lang w:val="zh-CN"/>
        </w:rPr>
        <w:t>报价文件内容及格式</w:t>
      </w:r>
      <w:r>
        <w:tab/>
      </w:r>
      <w:r>
        <w:rPr>
          <w:rFonts w:hint="eastAsia"/>
        </w:rPr>
        <w:t>5</w:t>
      </w:r>
      <w:r>
        <w:rPr>
          <w:rFonts w:hint="eastAsia"/>
        </w:rPr>
        <w:fldChar w:fldCharType="end"/>
      </w:r>
      <w:r>
        <w:rPr>
          <w:rFonts w:hint="eastAsia"/>
        </w:rPr>
        <w:t>1</w:t>
      </w:r>
    </w:p>
    <w:p>
      <w:pPr>
        <w:pStyle w:val="4"/>
        <w:keepNext w:val="0"/>
        <w:keepLines w:val="0"/>
        <w:adjustRightInd w:val="0"/>
        <w:snapToGrid w:val="0"/>
        <w:jc w:val="center"/>
      </w:pPr>
      <w:r>
        <w:fldChar w:fldCharType="end"/>
      </w:r>
    </w:p>
    <w:p>
      <w:pPr>
        <w:pStyle w:val="4"/>
        <w:keepNext w:val="0"/>
        <w:keepLines w:val="0"/>
        <w:adjustRightInd w:val="0"/>
        <w:snapToGrid w:val="0"/>
        <w:jc w:val="center"/>
      </w:pPr>
    </w:p>
    <w:p>
      <w:pPr>
        <w:pStyle w:val="4"/>
        <w:keepNext w:val="0"/>
        <w:keepLines w:val="0"/>
        <w:adjustRightInd w:val="0"/>
        <w:snapToGrid w:val="0"/>
        <w:jc w:val="center"/>
      </w:pPr>
    </w:p>
    <w:p>
      <w:pPr>
        <w:pStyle w:val="4"/>
        <w:keepNext w:val="0"/>
        <w:keepLines w:val="0"/>
        <w:adjustRightInd w:val="0"/>
        <w:snapToGrid w:val="0"/>
        <w:jc w:val="center"/>
      </w:pPr>
    </w:p>
    <w:p>
      <w:pPr>
        <w:pStyle w:val="4"/>
        <w:keepNext w:val="0"/>
        <w:keepLines w:val="0"/>
        <w:adjustRightInd w:val="0"/>
        <w:snapToGrid w:val="0"/>
        <w:jc w:val="center"/>
      </w:pPr>
    </w:p>
    <w:p>
      <w:pPr>
        <w:pStyle w:val="4"/>
        <w:keepNext w:val="0"/>
        <w:keepLines w:val="0"/>
        <w:adjustRightInd w:val="0"/>
        <w:snapToGrid w:val="0"/>
        <w:jc w:val="center"/>
      </w:pPr>
    </w:p>
    <w:p>
      <w:pPr>
        <w:pStyle w:val="4"/>
        <w:keepNext w:val="0"/>
        <w:keepLines w:val="0"/>
        <w:adjustRightInd w:val="0"/>
        <w:snapToGrid w:val="0"/>
        <w:jc w:val="center"/>
      </w:pPr>
    </w:p>
    <w:p>
      <w:pPr>
        <w:pStyle w:val="4"/>
        <w:keepNext w:val="0"/>
        <w:keepLines w:val="0"/>
        <w:adjustRightInd w:val="0"/>
        <w:snapToGrid w:val="0"/>
        <w:jc w:val="center"/>
      </w:pPr>
    </w:p>
    <w:p>
      <w:pPr>
        <w:pStyle w:val="4"/>
        <w:keepNext w:val="0"/>
        <w:keepLines w:val="0"/>
        <w:adjustRightInd w:val="0"/>
        <w:snapToGrid w:val="0"/>
        <w:jc w:val="center"/>
      </w:pPr>
    </w:p>
    <w:p>
      <w:pPr>
        <w:pStyle w:val="4"/>
        <w:keepNext w:val="0"/>
        <w:keepLines w:val="0"/>
        <w:adjustRightInd w:val="0"/>
        <w:snapToGrid w:val="0"/>
        <w:jc w:val="center"/>
      </w:pPr>
    </w:p>
    <w:p>
      <w:pPr>
        <w:pStyle w:val="4"/>
        <w:keepNext w:val="0"/>
        <w:keepLines w:val="0"/>
        <w:adjustRightInd w:val="0"/>
        <w:snapToGrid w:val="0"/>
        <w:jc w:val="center"/>
      </w:pPr>
    </w:p>
    <w:p>
      <w:pPr>
        <w:pStyle w:val="4"/>
        <w:keepNext w:val="0"/>
        <w:keepLines w:val="0"/>
        <w:adjustRightInd w:val="0"/>
        <w:snapToGrid w:val="0"/>
        <w:jc w:val="center"/>
      </w:pPr>
    </w:p>
    <w:p>
      <w:pPr>
        <w:pStyle w:val="4"/>
        <w:keepNext w:val="0"/>
        <w:keepLines w:val="0"/>
        <w:adjustRightInd w:val="0"/>
        <w:snapToGrid w:val="0"/>
        <w:jc w:val="center"/>
        <w:rPr>
          <w:rFonts w:cs="Times New Roman"/>
          <w:b w:val="0"/>
          <w:kern w:val="2"/>
          <w:szCs w:val="44"/>
        </w:rPr>
        <w:sectPr>
          <w:headerReference r:id="rId3" w:type="default"/>
          <w:footerReference r:id="rId4" w:type="default"/>
          <w:pgSz w:w="11906" w:h="16838"/>
          <w:pgMar w:top="1418" w:right="1134" w:bottom="1418" w:left="1418" w:header="851" w:footer="851" w:gutter="0"/>
          <w:pgNumType w:start="1"/>
          <w:cols w:space="720" w:num="1"/>
          <w:docGrid w:linePitch="388" w:charSpace="-1260"/>
        </w:sectPr>
      </w:pPr>
    </w:p>
    <w:p>
      <w:pPr>
        <w:pStyle w:val="4"/>
        <w:keepNext w:val="0"/>
        <w:keepLines w:val="0"/>
        <w:adjustRightInd w:val="0"/>
        <w:snapToGrid w:val="0"/>
        <w:jc w:val="center"/>
        <w:rPr>
          <w:rFonts w:cs="Times New Roman"/>
          <w:b w:val="0"/>
          <w:kern w:val="2"/>
          <w:szCs w:val="44"/>
          <w:lang w:val="zh-CN"/>
        </w:rPr>
      </w:pPr>
      <w:r>
        <w:rPr>
          <w:rFonts w:hint="eastAsia" w:cs="Times New Roman"/>
          <w:b w:val="0"/>
          <w:kern w:val="2"/>
          <w:szCs w:val="44"/>
        </w:rPr>
        <w:t>第一部分 竞争性谈判公告</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我单位就以下项目进行竞争性谈判采购，</w:t>
      </w:r>
      <w:r>
        <w:rPr>
          <w:rFonts w:hint="eastAsia" w:ascii="宋体" w:hAnsi="宋体" w:cs="宋体"/>
          <w:sz w:val="28"/>
          <w:szCs w:val="28"/>
          <w:shd w:val="clear" w:color="auto" w:fill="FFFFFF"/>
        </w:rPr>
        <w:t>采购资金已全部落实，欢迎符合条件的供应商参加报价</w:t>
      </w:r>
      <w:r>
        <w:rPr>
          <w:rFonts w:hint="eastAsia" w:ascii="宋体" w:hAnsi="宋体" w:cs="宋体"/>
          <w:sz w:val="28"/>
          <w:szCs w:val="28"/>
        </w:rPr>
        <w:t>。</w:t>
      </w:r>
    </w:p>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z w:val="28"/>
          <w:szCs w:val="28"/>
          <w:shd w:val="clear" w:color="auto" w:fill="FFFFFF"/>
        </w:rPr>
        <w:t>一、项目名称：台式大容量冷冻离心机</w:t>
      </w:r>
    </w:p>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z w:val="28"/>
          <w:szCs w:val="28"/>
          <w:shd w:val="clear" w:color="auto" w:fill="FFFFFF"/>
        </w:rPr>
        <w:t>二、项目编号：</w:t>
      </w:r>
      <w:r>
        <w:rPr>
          <w:rFonts w:hint="default" w:ascii="Times New Roman" w:hAnsi="Times New Roman" w:eastAsiaTheme="minorEastAsia"/>
          <w:sz w:val="28"/>
          <w:szCs w:val="28"/>
          <w:shd w:val="clear" w:color="auto" w:fill="FFFFFF"/>
        </w:rPr>
        <w:t>2024-YFXLW-W1007</w:t>
      </w:r>
    </w:p>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z w:val="28"/>
          <w:szCs w:val="28"/>
          <w:shd w:val="clear" w:color="auto" w:fill="FFFFFF"/>
        </w:rPr>
        <w:t>三、项目预算：16万元</w:t>
      </w:r>
    </w:p>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z w:val="28"/>
          <w:szCs w:val="28"/>
          <w:shd w:val="clear" w:color="auto" w:fill="FFFFFF"/>
        </w:rPr>
        <w:t>四、项目概况：</w:t>
      </w: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2266"/>
        <w:gridCol w:w="3189"/>
        <w:gridCol w:w="1594"/>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序号</w:t>
            </w:r>
          </w:p>
        </w:tc>
        <w:tc>
          <w:tcPr>
            <w:tcW w:w="1184" w:type="pct"/>
          </w:tcPr>
          <w:p>
            <w:pPr>
              <w:pStyle w:val="12"/>
              <w:widowControl/>
              <w:adjustRightInd w:val="0"/>
              <w:snapToGrid w:val="0"/>
              <w:spacing w:beforeAutospacing="0" w:afterAutospacing="0" w:line="360" w:lineRule="auto"/>
              <w:jc w:val="center"/>
              <w:textAlignment w:val="baseline"/>
              <w:rPr>
                <w:rFonts w:ascii="宋体" w:hAnsi="宋体" w:cs="宋体"/>
                <w:sz w:val="28"/>
                <w:szCs w:val="28"/>
              </w:rPr>
            </w:pPr>
            <w:r>
              <w:rPr>
                <w:rFonts w:hint="eastAsia" w:ascii="宋体" w:hAnsi="宋体" w:cs="宋体"/>
                <w:sz w:val="28"/>
                <w:szCs w:val="28"/>
              </w:rPr>
              <w:t>名称</w:t>
            </w:r>
          </w:p>
        </w:tc>
        <w:tc>
          <w:tcPr>
            <w:tcW w:w="1666" w:type="pct"/>
          </w:tcPr>
          <w:p>
            <w:pPr>
              <w:pStyle w:val="12"/>
              <w:widowControl/>
              <w:adjustRightInd w:val="0"/>
              <w:snapToGrid w:val="0"/>
              <w:spacing w:beforeAutospacing="0" w:afterAutospacing="0" w:line="360" w:lineRule="auto"/>
              <w:jc w:val="center"/>
              <w:textAlignment w:val="baseline"/>
              <w:rPr>
                <w:rFonts w:ascii="宋体" w:hAnsi="宋体" w:cs="宋体"/>
                <w:sz w:val="28"/>
                <w:szCs w:val="28"/>
              </w:rPr>
            </w:pPr>
            <w:r>
              <w:rPr>
                <w:rFonts w:hint="eastAsia" w:ascii="宋体" w:hAnsi="宋体" w:cs="宋体"/>
                <w:sz w:val="28"/>
                <w:szCs w:val="28"/>
              </w:rPr>
              <w:t>技术要求</w:t>
            </w:r>
          </w:p>
        </w:tc>
        <w:tc>
          <w:tcPr>
            <w:tcW w:w="833" w:type="pct"/>
          </w:tcPr>
          <w:p>
            <w:pPr>
              <w:pStyle w:val="12"/>
              <w:widowControl/>
              <w:adjustRightInd w:val="0"/>
              <w:snapToGrid w:val="0"/>
              <w:spacing w:beforeAutospacing="0" w:afterAutospacing="0" w:line="360" w:lineRule="auto"/>
              <w:jc w:val="center"/>
              <w:textAlignment w:val="baseline"/>
              <w:rPr>
                <w:rFonts w:ascii="宋体" w:hAnsi="宋体" w:cs="宋体"/>
                <w:sz w:val="28"/>
                <w:szCs w:val="28"/>
              </w:rPr>
            </w:pPr>
            <w:r>
              <w:rPr>
                <w:rFonts w:hint="eastAsia" w:ascii="宋体" w:hAnsi="宋体" w:cs="宋体"/>
                <w:sz w:val="28"/>
                <w:szCs w:val="28"/>
              </w:rPr>
              <w:t>数量</w:t>
            </w:r>
          </w:p>
        </w:tc>
        <w:tc>
          <w:tcPr>
            <w:tcW w:w="836" w:type="pct"/>
          </w:tcPr>
          <w:p>
            <w:pPr>
              <w:pStyle w:val="12"/>
              <w:widowControl/>
              <w:adjustRightInd w:val="0"/>
              <w:snapToGrid w:val="0"/>
              <w:spacing w:beforeAutospacing="0" w:afterAutospacing="0" w:line="360" w:lineRule="auto"/>
              <w:jc w:val="center"/>
              <w:textAlignment w:val="baseline"/>
              <w:rPr>
                <w:rFonts w:ascii="宋体" w:hAnsi="宋体" w:cs="宋体"/>
                <w:sz w:val="28"/>
                <w:szCs w:val="28"/>
              </w:rPr>
            </w:pPr>
            <w:r>
              <w:rPr>
                <w:rFonts w:hint="eastAsia" w:ascii="宋体" w:hAnsi="宋体" w:cs="宋体"/>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1</w:t>
            </w:r>
          </w:p>
        </w:tc>
        <w:tc>
          <w:tcPr>
            <w:tcW w:w="1184" w:type="pct"/>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台式大容量冷冻离心机</w:t>
            </w:r>
          </w:p>
        </w:tc>
        <w:tc>
          <w:tcPr>
            <w:tcW w:w="1666" w:type="pct"/>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详见第三部分</w:t>
            </w:r>
          </w:p>
        </w:tc>
        <w:tc>
          <w:tcPr>
            <w:tcW w:w="833" w:type="pct"/>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1</w:t>
            </w:r>
          </w:p>
        </w:tc>
        <w:tc>
          <w:tcPr>
            <w:tcW w:w="836" w:type="pct"/>
            <w:vAlign w:val="center"/>
          </w:tcPr>
          <w:p>
            <w:pPr>
              <w:adjustRightInd w:val="0"/>
              <w:snapToGrid w:val="0"/>
              <w:spacing w:line="360" w:lineRule="auto"/>
              <w:jc w:val="center"/>
              <w:rPr>
                <w:rFonts w:ascii="宋体" w:hAnsi="宋体" w:cs="宋体"/>
                <w:sz w:val="28"/>
                <w:szCs w:val="28"/>
              </w:rPr>
            </w:pPr>
            <w:r>
              <w:rPr>
                <w:rFonts w:hint="eastAsia" w:ascii="宋体" w:hAnsi="宋体" w:cs="宋体"/>
                <w:sz w:val="28"/>
                <w:szCs w:val="28"/>
              </w:rPr>
              <w:t>台</w:t>
            </w:r>
          </w:p>
        </w:tc>
      </w:tr>
    </w:tbl>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shd w:val="clear" w:color="auto" w:fill="FFFFFF"/>
        </w:rPr>
      </w:pPr>
    </w:p>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z w:val="28"/>
          <w:szCs w:val="28"/>
          <w:shd w:val="clear" w:color="auto" w:fill="FFFFFF"/>
        </w:rPr>
        <w:t>五、竞谈方资格条件</w:t>
      </w:r>
    </w:p>
    <w:p>
      <w:pPr>
        <w:pStyle w:val="12"/>
        <w:widowControl/>
        <w:numPr>
          <w:ilvl w:val="0"/>
          <w:numId w:val="1"/>
        </w:numPr>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符合《中华人民共和国政府采购法》第二十二条资格条件：</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1.  具有独立承担民事责任的能力；</w:t>
      </w:r>
    </w:p>
    <w:p>
      <w:pPr>
        <w:pStyle w:val="12"/>
        <w:widowControl/>
        <w:numPr>
          <w:ilvl w:val="0"/>
          <w:numId w:val="2"/>
        </w:numPr>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具有良好的商业信誉和健全的财务会计制度；</w:t>
      </w:r>
    </w:p>
    <w:p>
      <w:pPr>
        <w:pStyle w:val="12"/>
        <w:widowControl/>
        <w:numPr>
          <w:ilvl w:val="0"/>
          <w:numId w:val="2"/>
        </w:numPr>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具有履行合同所必需的设备和专业技术能力；</w:t>
      </w:r>
    </w:p>
    <w:p>
      <w:pPr>
        <w:pStyle w:val="12"/>
        <w:widowControl/>
        <w:numPr>
          <w:ilvl w:val="0"/>
          <w:numId w:val="2"/>
        </w:numPr>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有依法缴纳税收和社会保障资金的良好记录；</w:t>
      </w:r>
    </w:p>
    <w:p>
      <w:pPr>
        <w:pStyle w:val="12"/>
        <w:widowControl/>
        <w:numPr>
          <w:ilvl w:val="0"/>
          <w:numId w:val="2"/>
        </w:numPr>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参加采购活动前3年内，在经营活动中没有重大违法记录；</w:t>
      </w:r>
    </w:p>
    <w:p>
      <w:pPr>
        <w:pStyle w:val="12"/>
        <w:widowControl/>
        <w:numPr>
          <w:ilvl w:val="0"/>
          <w:numId w:val="2"/>
        </w:numPr>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 xml:space="preserve">法律、行政法规规定的其他条件。 </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（二）具有企（事）业法人资格（有行业特殊情况的银行、保险、电力、电信等法人分支机构，会计师、律师等非法人组织，行业协会等社会团体法人除外）；</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（三）国有企业；事业单位；军队单位；非外资（含港澳台）独资或控股企业；</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（四）具有良好的商业信誉和健全的财务会计制度；</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（五）具有履行合同所必需的设施设备、专业技术能力、质量保证体系和固定的生产经营、服务场地；</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（六）有依法缴纳税收和社会保障资金的良好记录；</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（七）参加军队采购活动前3年内，在经营活动中没有受到刑事处罚或者责令停产停业、吊销许可证或者执照、较大数额罚款（200万元以上）等重大违法记录；</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八）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（九）报价企业应当具备服务履约的能力。</w:t>
      </w:r>
    </w:p>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shd w:val="clear" w:color="auto" w:fill="FFFFFF"/>
        </w:rPr>
        <w:t>六、竞争性谈判申领时间、地点、方式</w:t>
      </w:r>
    </w:p>
    <w:p>
      <w:pPr>
        <w:pStyle w:val="12"/>
        <w:widowControl/>
        <w:spacing w:beforeAutospacing="0" w:afterAutospacing="0" w:line="360" w:lineRule="auto"/>
        <w:ind w:firstLine="555"/>
        <w:textAlignment w:val="baseline"/>
        <w:rPr>
          <w:rFonts w:ascii="微软雅黑" w:hAnsi="微软雅黑" w:eastAsia="微软雅黑" w:cs="微软雅黑"/>
          <w:color w:val="2F2F2F"/>
          <w:sz w:val="28"/>
          <w:szCs w:val="28"/>
        </w:rPr>
      </w:pPr>
      <w:r>
        <w:rPr>
          <w:rFonts w:hint="eastAsia" w:asciiTheme="minorEastAsia" w:hAnsiTheme="minorEastAsia" w:eastAsiaTheme="minorEastAsia" w:cstheme="minorEastAsia"/>
          <w:sz w:val="28"/>
          <w:szCs w:val="28"/>
          <w:shd w:val="clear" w:color="auto" w:fill="FFFFFF"/>
        </w:rPr>
        <w:t>（一）</w:t>
      </w:r>
      <w:r>
        <w:rPr>
          <w:rFonts w:hint="eastAsia" w:ascii="宋体" w:hAnsi="宋体" w:cs="宋体"/>
          <w:color w:val="2F2F2F"/>
          <w:sz w:val="28"/>
          <w:szCs w:val="28"/>
        </w:rPr>
        <w:t>（一）申领时间：自公告发布之日起至2024年4月3日。</w:t>
      </w:r>
    </w:p>
    <w:p>
      <w:pPr>
        <w:pStyle w:val="12"/>
        <w:widowControl/>
        <w:spacing w:beforeAutospacing="0" w:afterAutospacing="0" w:line="360" w:lineRule="auto"/>
        <w:ind w:firstLine="555"/>
        <w:textAlignment w:val="baseline"/>
        <w:rPr>
          <w:rFonts w:ascii="微软雅黑" w:hAnsi="微软雅黑" w:eastAsia="微软雅黑" w:cs="微软雅黑"/>
          <w:color w:val="2F2F2F"/>
          <w:sz w:val="28"/>
          <w:szCs w:val="28"/>
        </w:rPr>
      </w:pPr>
      <w:r>
        <w:rPr>
          <w:rFonts w:hint="eastAsia" w:ascii="宋体" w:hAnsi="宋体" w:cs="宋体"/>
          <w:color w:val="2F2F2F"/>
          <w:sz w:val="28"/>
          <w:szCs w:val="28"/>
        </w:rPr>
        <w:t>（二）申领地点：网上申领。</w:t>
      </w:r>
    </w:p>
    <w:p>
      <w:pPr>
        <w:pStyle w:val="12"/>
        <w:widowControl/>
        <w:spacing w:beforeAutospacing="0" w:afterAutospacing="0" w:line="360" w:lineRule="auto"/>
        <w:ind w:firstLine="555"/>
        <w:textAlignment w:val="baseline"/>
        <w:rPr>
          <w:rFonts w:asciiTheme="minorEastAsia" w:hAnsiTheme="minorEastAsia" w:eastAsiaTheme="minorEastAsia" w:cstheme="minorEastAsia"/>
          <w:sz w:val="28"/>
          <w:szCs w:val="28"/>
        </w:rPr>
      </w:pPr>
      <w:r>
        <w:rPr>
          <w:rFonts w:hint="eastAsia" w:ascii="宋体" w:hAnsi="宋体" w:cs="宋体"/>
          <w:color w:val="2F2F2F"/>
          <w:sz w:val="28"/>
          <w:szCs w:val="28"/>
        </w:rPr>
        <w:t>（三）申领竞争性谈判文件时需提供以下资料：</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1.营业执照或事业单位法人证书复印件加盖公章(军队单位不需要提供)；</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2.法定代表人资格证明书原件；</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3.法定代表人授权书原件，授权代表身份证和授权代表在报价前4个月内（不含报价当月）连续3个月由报价供应商缴纳社保证明材料的复印件；</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4.非外资独资企业或控股企业的书面声明（事业单位、军队单位不需要提供）；</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5.报价供应商主要股东或出资人信息；</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6.未被列入本公告第四条第（八）项明确的违法失信名单的承诺书；</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shd w:val="clear" w:color="auto" w:fill="FFFFFF"/>
        </w:rPr>
      </w:pPr>
      <w:r>
        <w:rPr>
          <w:rFonts w:hint="eastAsia" w:asciiTheme="minorEastAsia" w:hAnsiTheme="minorEastAsia" w:eastAsiaTheme="minorEastAsia" w:cstheme="minorEastAsia"/>
          <w:sz w:val="28"/>
          <w:szCs w:val="28"/>
          <w:shd w:val="clear" w:color="auto" w:fill="FFFFFF"/>
        </w:rPr>
        <w:t>（四）申领方式</w:t>
      </w:r>
    </w:p>
    <w:p>
      <w:pPr>
        <w:adjustRightInd w:val="0"/>
        <w:snapToGrid w:val="0"/>
        <w:spacing w:line="360" w:lineRule="auto"/>
        <w:ind w:firstLine="840" w:firstLineChars="300"/>
        <w:rPr>
          <w:rFonts w:ascii="宋体" w:hAnsi="宋体" w:cs="宋体"/>
          <w:kern w:val="2"/>
          <w:sz w:val="28"/>
          <w:szCs w:val="28"/>
        </w:rPr>
      </w:pPr>
      <w:r>
        <w:rPr>
          <w:rFonts w:hint="eastAsia" w:ascii="宋体" w:hAnsi="宋体" w:cs="宋体"/>
          <w:kern w:val="2"/>
          <w:sz w:val="28"/>
          <w:szCs w:val="28"/>
        </w:rPr>
        <w:t>同竞争性谈判公告一并挂网，自行下载。</w:t>
      </w:r>
    </w:p>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shd w:val="clear" w:color="auto" w:fill="FFFFFF"/>
        </w:rPr>
        <w:t>七、竞争性谈判</w:t>
      </w:r>
      <w:r>
        <w:rPr>
          <w:rFonts w:cs="宋体"/>
          <w:sz w:val="28"/>
          <w:szCs w:val="28"/>
        </w:rPr>
        <w:t>文件递交</w:t>
      </w:r>
    </w:p>
    <w:p>
      <w:pPr>
        <w:adjustRightInd w:val="0"/>
        <w:snapToGrid w:val="0"/>
        <w:spacing w:line="360" w:lineRule="auto"/>
        <w:ind w:firstLine="560" w:firstLineChars="200"/>
        <w:rPr>
          <w:rFonts w:ascii="宋体" w:hAnsi="宋体" w:cs="宋体"/>
          <w:i/>
          <w:iCs/>
          <w:sz w:val="28"/>
          <w:szCs w:val="28"/>
        </w:rPr>
      </w:pPr>
      <w:r>
        <w:rPr>
          <w:rFonts w:hint="eastAsia" w:ascii="宋体" w:hAnsi="宋体" w:cs="宋体"/>
          <w:sz w:val="28"/>
          <w:szCs w:val="28"/>
        </w:rPr>
        <w:t>（一）文件递交截止时间：2024年4月12日18时</w:t>
      </w:r>
      <w:r>
        <w:rPr>
          <w:rFonts w:hint="eastAsia" w:ascii="宋体" w:hAnsi="宋体" w:cs="宋体"/>
          <w:i/>
          <w:iCs/>
          <w:sz w:val="28"/>
          <w:szCs w:val="28"/>
        </w:rPr>
        <w:t>00</w:t>
      </w:r>
      <w:r>
        <w:rPr>
          <w:rFonts w:hint="eastAsia" w:ascii="宋体" w:hAnsi="宋体" w:cs="宋体"/>
          <w:sz w:val="28"/>
          <w:szCs w:val="28"/>
        </w:rPr>
        <w:t>分</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（二）文件递交要求：签字盖章密封递交。</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（三）文件递交地址：重庆市沙坪坝区高滩岩正街30号</w:t>
      </w:r>
    </w:p>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rPr>
      </w:pPr>
      <w:r>
        <w:rPr>
          <w:rFonts w:asciiTheme="minorEastAsia" w:hAnsiTheme="minorEastAsia" w:eastAsiaTheme="minorEastAsia" w:cstheme="minorEastAsia"/>
          <w:sz w:val="28"/>
          <w:szCs w:val="28"/>
          <w:shd w:val="clear" w:color="auto" w:fill="FFFFFF"/>
        </w:rPr>
        <w:t>八、联系人</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联系地址：重庆市沙坪坝区高滩岩正街30号</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联系人：陈老师</w:t>
      </w:r>
    </w:p>
    <w:p>
      <w:pPr>
        <w:pStyle w:val="12"/>
        <w:widowControl/>
        <w:shd w:val="clear" w:color="auto" w:fill="FFFFFF"/>
        <w:spacing w:beforeAutospacing="0" w:after="150" w:afterAutospacing="0" w:line="360" w:lineRule="auto"/>
        <w:ind w:left="300" w:right="3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联系电话：13153515990</w:t>
      </w:r>
    </w:p>
    <w:p>
      <w:pPr>
        <w:rPr>
          <w:rFonts w:ascii="黑体" w:hAnsi="黑体" w:eastAsia="黑体" w:cs="黑体"/>
          <w:sz w:val="28"/>
          <w:szCs w:val="28"/>
        </w:rPr>
      </w:pPr>
      <w:r>
        <w:rPr>
          <w:rFonts w:ascii="黑体" w:hAnsi="黑体" w:eastAsia="黑体" w:cs="黑体"/>
          <w:sz w:val="28"/>
          <w:szCs w:val="28"/>
        </w:rPr>
        <w:br w:type="page"/>
      </w:r>
    </w:p>
    <w:p>
      <w:pPr>
        <w:pStyle w:val="2"/>
      </w:pPr>
    </w:p>
    <w:p>
      <w:pPr>
        <w:pStyle w:val="4"/>
        <w:keepNext w:val="0"/>
        <w:keepLines w:val="0"/>
        <w:adjustRightInd w:val="0"/>
        <w:snapToGrid w:val="0"/>
        <w:jc w:val="center"/>
        <w:rPr>
          <w:rFonts w:ascii="黑体" w:hAnsi="黑体" w:eastAsia="黑体" w:cs="黑体"/>
          <w:sz w:val="28"/>
          <w:szCs w:val="28"/>
        </w:rPr>
      </w:pPr>
      <w:r>
        <w:rPr>
          <w:rFonts w:hint="eastAsia" w:cs="Times New Roman"/>
          <w:b w:val="0"/>
          <w:kern w:val="2"/>
          <w:szCs w:val="44"/>
        </w:rPr>
        <w:t>第二部分 谈判须知</w:t>
      </w:r>
    </w:p>
    <w:p>
      <w:pPr>
        <w:pStyle w:val="5"/>
        <w:keepNext w:val="0"/>
        <w:keepLines w:val="0"/>
        <w:adjustRightInd w:val="0"/>
        <w:snapToGrid w:val="0"/>
        <w:spacing w:before="120" w:beforeLines="50" w:after="120" w:afterLines="50" w:line="560" w:lineRule="exact"/>
        <w:jc w:val="center"/>
        <w:rPr>
          <w:b w:val="0"/>
        </w:rPr>
      </w:pPr>
      <w:bookmarkStart w:id="0" w:name="_Toc112768379"/>
      <w:bookmarkStart w:id="1" w:name="_Toc150421209"/>
      <w:bookmarkStart w:id="2" w:name="_Toc3044"/>
      <w:bookmarkStart w:id="3" w:name="_Toc20949"/>
      <w:bookmarkStart w:id="4" w:name="_Toc152058252"/>
      <w:bookmarkStart w:id="5" w:name="_Toc112317767"/>
      <w:bookmarkStart w:id="6" w:name="_Toc5139"/>
      <w:bookmarkStart w:id="7" w:name="_Toc16291"/>
      <w:bookmarkStart w:id="8" w:name="_Toc19197"/>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p>
    <w:p>
      <w:pPr>
        <w:pStyle w:val="6"/>
        <w:adjustRightInd w:val="0"/>
        <w:snapToGrid w:val="0"/>
        <w:spacing w:line="560" w:lineRule="exact"/>
        <w:ind w:firstLine="560" w:firstLineChars="200"/>
        <w:rPr>
          <w:rFonts w:hint="default"/>
          <w:snapToGrid w:val="0"/>
          <w:sz w:val="28"/>
          <w:szCs w:val="28"/>
          <w:lang w:val="zh-CN"/>
        </w:rPr>
      </w:pPr>
      <w:bookmarkStart w:id="9" w:name="_Toc10142"/>
      <w:bookmarkStart w:id="10" w:name="_Toc21350"/>
      <w:bookmarkStart w:id="11" w:name="_Toc112768380"/>
      <w:bookmarkStart w:id="12" w:name="_Toc27733"/>
      <w:bookmarkStart w:id="13" w:name="_Toc18781"/>
      <w:bookmarkStart w:id="14" w:name="_Toc4267"/>
      <w:r>
        <w:rPr>
          <w:rFonts w:ascii="黑体" w:hAnsi="黑体"/>
          <w:b w:val="0"/>
          <w:sz w:val="28"/>
          <w:szCs w:val="28"/>
        </w:rPr>
        <w:t>1.概述</w:t>
      </w:r>
      <w:bookmarkEnd w:id="9"/>
      <w:bookmarkEnd w:id="10"/>
      <w:bookmarkEnd w:id="11"/>
      <w:bookmarkEnd w:id="12"/>
      <w:bookmarkEnd w:id="13"/>
      <w:bookmarkEnd w:id="14"/>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1.1本文件适用于军队物资类竞争性谈判采购项目，用于明确一般性组织程序和实施要求。报价供应商应当结合采购项目谈判文件的专用文件，全面了解采购项目信息。</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lang w:val="zh-CN"/>
        </w:rPr>
        <w:t>1.2</w:t>
      </w:r>
      <w:r>
        <w:rPr>
          <w:rFonts w:hint="eastAsia" w:ascii="宋体" w:hAnsi="宋体"/>
          <w:bCs/>
          <w:snapToGrid w:val="0"/>
          <w:sz w:val="28"/>
          <w:szCs w:val="28"/>
        </w:rPr>
        <w:t>竞争性谈判的各参加方，对在参与谈判过程中获悉的国家、军队和商业秘密，以及其他依法应当保密的内容，均负有保密义务，违者应当承担相应的法律责任。</w:t>
      </w:r>
    </w:p>
    <w:p>
      <w:pPr>
        <w:pStyle w:val="6"/>
        <w:adjustRightInd w:val="0"/>
        <w:snapToGrid w:val="0"/>
        <w:spacing w:line="560" w:lineRule="exact"/>
        <w:ind w:firstLine="560" w:firstLineChars="200"/>
        <w:rPr>
          <w:rFonts w:hint="default" w:ascii="黑体" w:hAnsi="黑体"/>
          <w:b w:val="0"/>
          <w:sz w:val="28"/>
          <w:szCs w:val="28"/>
        </w:rPr>
      </w:pPr>
      <w:bookmarkStart w:id="15" w:name="_Toc27552"/>
      <w:bookmarkStart w:id="16" w:name="_Toc31925"/>
      <w:bookmarkStart w:id="17" w:name="_Toc12952"/>
      <w:bookmarkStart w:id="18" w:name="_Toc112768381"/>
      <w:bookmarkStart w:id="19" w:name="_Toc22416"/>
      <w:bookmarkStart w:id="20" w:name="_Toc2154"/>
      <w:r>
        <w:rPr>
          <w:rFonts w:ascii="黑体" w:hAnsi="黑体"/>
          <w:b w:val="0"/>
          <w:sz w:val="28"/>
          <w:szCs w:val="28"/>
        </w:rPr>
        <w:t>2.定义</w:t>
      </w:r>
      <w:bookmarkEnd w:id="15"/>
      <w:bookmarkEnd w:id="16"/>
      <w:bookmarkEnd w:id="17"/>
      <w:bookmarkEnd w:id="18"/>
      <w:bookmarkEnd w:id="19"/>
      <w:bookmarkEnd w:id="20"/>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指本谈判文件描述的所需采购的物资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指组织本次谈判的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谈判</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1" w:name="_Hlk112421795"/>
      <w:r>
        <w:rPr>
          <w:rFonts w:hint="eastAsia" w:ascii="宋体" w:hAnsi="宋体"/>
          <w:bCs/>
          <w:snapToGrid w:val="0"/>
          <w:sz w:val="28"/>
          <w:szCs w:val="28"/>
        </w:rPr>
        <w:t>预</w:t>
      </w:r>
      <w:r>
        <w:rPr>
          <w:rFonts w:ascii="宋体" w:hAnsi="宋体"/>
          <w:bCs/>
          <w:snapToGrid w:val="0"/>
          <w:sz w:val="28"/>
          <w:szCs w:val="28"/>
        </w:rPr>
        <w:t>成交供应商</w:t>
      </w:r>
      <w:bookmarkEnd w:id="21"/>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竞争性谈判</w:t>
      </w:r>
      <w:r>
        <w:rPr>
          <w:rFonts w:ascii="宋体" w:hAnsi="宋体"/>
          <w:bCs/>
          <w:snapToGrid w:val="0"/>
          <w:sz w:val="28"/>
          <w:szCs w:val="28"/>
          <w:lang w:val="zh-CN"/>
        </w:rPr>
        <w:t>，</w:t>
      </w:r>
      <w:bookmarkStart w:id="22" w:name="_Hlk112351339"/>
      <w:bookmarkStart w:id="23" w:name="_Hlk112259183"/>
      <w:r>
        <w:rPr>
          <w:rFonts w:hint="eastAsia" w:ascii="宋体" w:hAnsi="宋体"/>
          <w:bCs/>
          <w:snapToGrid w:val="0"/>
          <w:sz w:val="28"/>
          <w:szCs w:val="28"/>
          <w:lang w:val="zh-CN"/>
        </w:rPr>
        <w:t>获得合同签订资格</w:t>
      </w:r>
      <w:bookmarkEnd w:id="22"/>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3"/>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指成交供应商按谈判文件规定，提供的各种形态和种类的物品，包括设备、产品、备品备件、工具、手册等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指成交供应商按谈判文件规定，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6"/>
        <w:adjustRightInd w:val="0"/>
        <w:snapToGrid w:val="0"/>
        <w:spacing w:line="560" w:lineRule="exact"/>
        <w:ind w:firstLine="560" w:firstLineChars="200"/>
        <w:rPr>
          <w:rFonts w:hint="default" w:ascii="黑体" w:hAnsi="黑体"/>
          <w:b w:val="0"/>
          <w:sz w:val="28"/>
          <w:szCs w:val="28"/>
        </w:rPr>
      </w:pPr>
      <w:bookmarkStart w:id="24" w:name="_Toc20366"/>
      <w:bookmarkStart w:id="25" w:name="_Toc29116"/>
      <w:bookmarkStart w:id="26" w:name="_Toc11437"/>
      <w:bookmarkStart w:id="27" w:name="_Toc6801"/>
      <w:bookmarkStart w:id="28" w:name="_Toc8203"/>
      <w:bookmarkStart w:id="29" w:name="_Toc112768382"/>
      <w:r>
        <w:rPr>
          <w:rFonts w:ascii="黑体" w:hAnsi="黑体"/>
          <w:b w:val="0"/>
          <w:sz w:val="28"/>
          <w:szCs w:val="28"/>
        </w:rPr>
        <w:t>3.合格的报价供应商</w:t>
      </w:r>
      <w:bookmarkEnd w:id="24"/>
      <w:bookmarkEnd w:id="25"/>
      <w:bookmarkEnd w:id="26"/>
      <w:bookmarkEnd w:id="27"/>
      <w:bookmarkEnd w:id="28"/>
      <w:bookmarkEnd w:id="29"/>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竞争性谈判</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谈判文件的专用文件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6"/>
        <w:adjustRightInd w:val="0"/>
        <w:snapToGrid w:val="0"/>
        <w:spacing w:line="560" w:lineRule="exact"/>
        <w:ind w:firstLine="560" w:firstLineChars="200"/>
        <w:rPr>
          <w:rFonts w:hint="default" w:ascii="黑体" w:hAnsi="黑体"/>
          <w:b w:val="0"/>
          <w:sz w:val="28"/>
          <w:szCs w:val="28"/>
        </w:rPr>
      </w:pPr>
      <w:bookmarkStart w:id="30" w:name="_Toc17620"/>
      <w:bookmarkStart w:id="31" w:name="_Toc12583"/>
      <w:bookmarkStart w:id="32" w:name="_Toc112768383"/>
      <w:bookmarkStart w:id="33" w:name="_Toc6977"/>
      <w:bookmarkStart w:id="34" w:name="_Toc6947"/>
      <w:bookmarkStart w:id="35" w:name="_Toc18986"/>
      <w:r>
        <w:rPr>
          <w:rFonts w:ascii="黑体" w:hAnsi="黑体"/>
          <w:b w:val="0"/>
          <w:sz w:val="28"/>
          <w:szCs w:val="28"/>
        </w:rPr>
        <w:t>4.合格的物资及其相关服务</w:t>
      </w:r>
      <w:bookmarkEnd w:id="30"/>
      <w:bookmarkEnd w:id="31"/>
      <w:bookmarkEnd w:id="32"/>
      <w:bookmarkEnd w:id="33"/>
      <w:bookmarkEnd w:id="34"/>
      <w:bookmarkEnd w:id="35"/>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未使用过的，物资和相关服务应当符合谈判文件要求。</w:t>
      </w:r>
    </w:p>
    <w:p>
      <w:pPr>
        <w:pStyle w:val="6"/>
        <w:adjustRightInd w:val="0"/>
        <w:snapToGrid w:val="0"/>
        <w:spacing w:line="560" w:lineRule="exact"/>
        <w:ind w:firstLine="560" w:firstLineChars="200"/>
        <w:rPr>
          <w:rFonts w:hint="default" w:ascii="黑体" w:hAnsi="黑体"/>
          <w:b w:val="0"/>
          <w:sz w:val="28"/>
          <w:szCs w:val="28"/>
        </w:rPr>
      </w:pPr>
      <w:bookmarkStart w:id="36" w:name="_Toc112768384"/>
      <w:bookmarkStart w:id="37" w:name="_Toc26101"/>
      <w:bookmarkStart w:id="38" w:name="_Toc17326"/>
      <w:bookmarkStart w:id="39" w:name="_Toc9133"/>
      <w:bookmarkStart w:id="40" w:name="_Toc32653"/>
      <w:bookmarkStart w:id="41" w:name="_Toc18900"/>
      <w:r>
        <w:rPr>
          <w:rFonts w:ascii="黑体" w:hAnsi="黑体"/>
          <w:b w:val="0"/>
          <w:sz w:val="28"/>
          <w:szCs w:val="28"/>
        </w:rPr>
        <w:t>5.授权委托</w:t>
      </w:r>
      <w:bookmarkEnd w:id="36"/>
      <w:bookmarkEnd w:id="37"/>
      <w:bookmarkEnd w:id="38"/>
      <w:bookmarkEnd w:id="39"/>
      <w:bookmarkEnd w:id="40"/>
      <w:bookmarkEnd w:id="41"/>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如报价供应商代表不是法定代表人，</w:t>
      </w:r>
      <w:r>
        <w:rPr>
          <w:rFonts w:hint="eastAsia" w:ascii="宋体" w:hAnsi="宋体"/>
          <w:bCs/>
          <w:snapToGrid w:val="0"/>
          <w:sz w:val="28"/>
          <w:szCs w:val="28"/>
        </w:rPr>
        <w:t>应当</w:t>
      </w:r>
      <w:r>
        <w:rPr>
          <w:rFonts w:hint="eastAsia"/>
          <w:bCs/>
          <w:snapToGrid w:val="0"/>
          <w:sz w:val="28"/>
          <w:szCs w:val="28"/>
        </w:rPr>
        <w:t>在报价文件中提供《法定代表人授权书》，后附授权代表在</w:t>
      </w:r>
      <w:r>
        <w:rPr>
          <w:rFonts w:hint="eastAsia" w:ascii="宋体" w:hAnsi="宋体"/>
          <w:bCs/>
          <w:snapToGrid w:val="0"/>
          <w:sz w:val="28"/>
          <w:szCs w:val="28"/>
          <w:lang w:val="zh-CN"/>
        </w:rPr>
        <w:t>报价前4个月内（不含报价当月）连续3个月由</w:t>
      </w:r>
      <w:r>
        <w:rPr>
          <w:rFonts w:hint="eastAsia"/>
          <w:bCs/>
          <w:snapToGrid w:val="0"/>
          <w:sz w:val="28"/>
          <w:szCs w:val="28"/>
        </w:rPr>
        <w:t>报价供应商缴纳社保证明材料。</w:t>
      </w:r>
      <w:r>
        <w:rPr>
          <w:rFonts w:hint="eastAsia" w:asciiTheme="majorEastAsia" w:hAnsiTheme="majorEastAsia" w:eastAsiaTheme="majorEastAsia"/>
          <w:bCs/>
          <w:snapToGrid w:val="0"/>
          <w:sz w:val="28"/>
          <w:szCs w:val="28"/>
        </w:rPr>
        <w:t>代缴社保证明材料不予认可。</w:t>
      </w:r>
    </w:p>
    <w:p>
      <w:pPr>
        <w:pStyle w:val="6"/>
        <w:adjustRightInd w:val="0"/>
        <w:snapToGrid w:val="0"/>
        <w:spacing w:line="560" w:lineRule="exact"/>
        <w:ind w:firstLine="560" w:firstLineChars="200"/>
        <w:rPr>
          <w:rFonts w:hint="default" w:ascii="黑体" w:hAnsi="黑体"/>
          <w:b w:val="0"/>
          <w:sz w:val="28"/>
          <w:szCs w:val="28"/>
        </w:rPr>
      </w:pPr>
      <w:bookmarkStart w:id="42" w:name="_Toc5983"/>
      <w:bookmarkStart w:id="43" w:name="_Toc112768385"/>
      <w:bookmarkStart w:id="44" w:name="_Toc3974"/>
      <w:bookmarkStart w:id="45" w:name="_Toc24739"/>
      <w:bookmarkStart w:id="46" w:name="_Toc20166"/>
      <w:bookmarkStart w:id="47" w:name="_Toc21752"/>
      <w:r>
        <w:rPr>
          <w:rFonts w:ascii="黑体" w:hAnsi="黑体"/>
          <w:b w:val="0"/>
          <w:sz w:val="28"/>
          <w:szCs w:val="28"/>
        </w:rPr>
        <w:t>6.谈判费用</w:t>
      </w:r>
      <w:bookmarkEnd w:id="42"/>
      <w:bookmarkEnd w:id="43"/>
      <w:bookmarkEnd w:id="44"/>
      <w:bookmarkEnd w:id="45"/>
      <w:bookmarkEnd w:id="46"/>
      <w:bookmarkEnd w:id="47"/>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无论谈判结果如何，报价供应商均应当自行承担准备和参加谈判相关的全部费用。</w:t>
      </w:r>
    </w:p>
    <w:p>
      <w:pPr>
        <w:pStyle w:val="6"/>
        <w:adjustRightInd w:val="0"/>
        <w:snapToGrid w:val="0"/>
        <w:spacing w:line="560" w:lineRule="exact"/>
        <w:ind w:firstLine="560" w:firstLineChars="200"/>
        <w:rPr>
          <w:rFonts w:hint="default" w:ascii="黑体" w:hAnsi="黑体"/>
          <w:b w:val="0"/>
          <w:sz w:val="28"/>
          <w:szCs w:val="28"/>
        </w:rPr>
      </w:pPr>
      <w:bookmarkStart w:id="48" w:name="_Toc5991"/>
      <w:bookmarkStart w:id="49" w:name="_Toc22348"/>
      <w:bookmarkStart w:id="50" w:name="_Toc30514"/>
      <w:bookmarkStart w:id="51" w:name="_Toc112768386"/>
      <w:bookmarkStart w:id="52" w:name="_Toc27522"/>
      <w:bookmarkStart w:id="53" w:name="_Toc17255"/>
      <w:bookmarkStart w:id="54" w:name="_Toc112317768"/>
      <w:r>
        <w:rPr>
          <w:rFonts w:ascii="黑体" w:hAnsi="黑体"/>
          <w:b w:val="0"/>
          <w:sz w:val="28"/>
          <w:szCs w:val="28"/>
        </w:rPr>
        <w:t>7.组织现场踏勘或召开标前答疑会</w:t>
      </w:r>
      <w:bookmarkEnd w:id="48"/>
      <w:bookmarkEnd w:id="49"/>
      <w:bookmarkEnd w:id="50"/>
      <w:bookmarkEnd w:id="51"/>
      <w:bookmarkEnd w:id="52"/>
      <w:bookmarkEnd w:id="53"/>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【报价供应商须知前附表】明确的谈判文件申领时间截止后，组织已获取谈判文件的报价供应商现场踏勘或召开标前答疑会。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申领谈判文件的供应商按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谈判文件或最终书面答复之外，报价供应商自行得出的推论、理解和结论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未参加现场踏勘或标前答疑会的，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6"/>
        <w:adjustRightInd w:val="0"/>
        <w:snapToGrid w:val="0"/>
        <w:spacing w:line="560" w:lineRule="exact"/>
        <w:ind w:firstLine="560" w:firstLineChars="200"/>
        <w:rPr>
          <w:rFonts w:hint="default" w:ascii="黑体" w:hAnsi="黑体"/>
          <w:b w:val="0"/>
          <w:sz w:val="28"/>
          <w:szCs w:val="28"/>
        </w:rPr>
      </w:pPr>
      <w:bookmarkStart w:id="55" w:name="_Toc112768387"/>
      <w:bookmarkStart w:id="56" w:name="_Toc12217"/>
      <w:bookmarkStart w:id="57" w:name="_Toc15396"/>
      <w:bookmarkStart w:id="58" w:name="_Toc23752"/>
      <w:bookmarkStart w:id="59" w:name="_Toc11383"/>
      <w:bookmarkStart w:id="60" w:name="_Toc6659"/>
      <w:r>
        <w:rPr>
          <w:rFonts w:ascii="黑体" w:hAnsi="黑体"/>
          <w:b w:val="0"/>
          <w:sz w:val="28"/>
          <w:szCs w:val="28"/>
        </w:rPr>
        <w:t>8.信息发布及媒体</w:t>
      </w:r>
      <w:bookmarkEnd w:id="55"/>
      <w:bookmarkEnd w:id="56"/>
      <w:bookmarkEnd w:id="57"/>
      <w:bookmarkEnd w:id="58"/>
      <w:bookmarkEnd w:id="59"/>
      <w:bookmarkEnd w:id="6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6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61"/>
    </w:p>
    <w:p>
      <w:pPr>
        <w:pStyle w:val="5"/>
        <w:keepNext w:val="0"/>
        <w:keepLines w:val="0"/>
        <w:adjustRightInd w:val="0"/>
        <w:snapToGrid w:val="0"/>
        <w:spacing w:before="120" w:beforeLines="50" w:after="120" w:afterLines="50" w:line="560" w:lineRule="exact"/>
        <w:jc w:val="center"/>
        <w:rPr>
          <w:b w:val="0"/>
        </w:rPr>
      </w:pPr>
      <w:bookmarkStart w:id="62" w:name="_Toc28813"/>
      <w:bookmarkStart w:id="63" w:name="_Toc112768388"/>
      <w:bookmarkStart w:id="64" w:name="_Toc4202"/>
      <w:bookmarkStart w:id="65" w:name="_Toc5629"/>
      <w:bookmarkStart w:id="66" w:name="_Toc16542"/>
      <w:bookmarkStart w:id="67" w:name="_Toc24021"/>
      <w:bookmarkStart w:id="68" w:name="_Toc152058253"/>
      <w:bookmarkStart w:id="69" w:name="_Toc150421210"/>
      <w:r>
        <w:rPr>
          <w:rFonts w:hint="eastAsia"/>
          <w:b w:val="0"/>
        </w:rPr>
        <w:t>二、谈判文件</w:t>
      </w:r>
      <w:bookmarkEnd w:id="54"/>
      <w:bookmarkEnd w:id="62"/>
      <w:bookmarkEnd w:id="63"/>
      <w:bookmarkEnd w:id="64"/>
      <w:bookmarkEnd w:id="65"/>
      <w:bookmarkEnd w:id="66"/>
      <w:bookmarkEnd w:id="67"/>
      <w:r>
        <w:rPr>
          <w:rFonts w:hint="eastAsia"/>
          <w:b w:val="0"/>
        </w:rPr>
        <w:t>的内容及澄清与修改</w:t>
      </w:r>
      <w:bookmarkEnd w:id="68"/>
      <w:bookmarkEnd w:id="69"/>
    </w:p>
    <w:p>
      <w:pPr>
        <w:pStyle w:val="6"/>
        <w:adjustRightInd w:val="0"/>
        <w:snapToGrid w:val="0"/>
        <w:spacing w:line="560" w:lineRule="exact"/>
        <w:ind w:firstLine="560" w:firstLineChars="200"/>
        <w:rPr>
          <w:rFonts w:hint="default" w:ascii="黑体" w:hAnsi="黑体"/>
          <w:b w:val="0"/>
          <w:sz w:val="28"/>
          <w:szCs w:val="28"/>
        </w:rPr>
      </w:pPr>
      <w:bookmarkStart w:id="70" w:name="_Toc112768389"/>
      <w:bookmarkStart w:id="71" w:name="_Toc27158"/>
      <w:bookmarkStart w:id="72" w:name="_Toc27937"/>
      <w:bookmarkStart w:id="73" w:name="_Toc6525"/>
      <w:bookmarkStart w:id="74" w:name="_Toc30381"/>
      <w:bookmarkStart w:id="75" w:name="_Toc11679"/>
      <w:r>
        <w:rPr>
          <w:rFonts w:ascii="黑体" w:hAnsi="黑体"/>
          <w:b w:val="0"/>
          <w:sz w:val="28"/>
          <w:szCs w:val="28"/>
        </w:rPr>
        <w:t>9.谈判文件的内容</w:t>
      </w:r>
      <w:bookmarkEnd w:id="70"/>
      <w:bookmarkEnd w:id="71"/>
      <w:bookmarkEnd w:id="72"/>
      <w:bookmarkEnd w:id="73"/>
      <w:bookmarkEnd w:id="74"/>
      <w:bookmarkEnd w:id="75"/>
    </w:p>
    <w:p>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9.1</w:t>
      </w:r>
      <w:r>
        <w:rPr>
          <w:rFonts w:hint="eastAsia" w:ascii="宋体" w:hAnsi="宋体"/>
          <w:bCs/>
          <w:sz w:val="28"/>
          <w:szCs w:val="28"/>
          <w:lang w:val="zh-CN"/>
        </w:rPr>
        <w:t>谈判文件由通用文件和专用文件两部分组成，通用文件载明军队物资类竞争性谈判项目的一般性说明，专用文件载明本项目特定条件和要求。通用文件与专用文件内容不一致的，以专用文件为准。</w:t>
      </w:r>
    </w:p>
    <w:p>
      <w:pPr>
        <w:adjustRightInd w:val="0"/>
        <w:snapToGrid w:val="0"/>
        <w:spacing w:line="560" w:lineRule="exact"/>
        <w:ind w:firstLine="560" w:firstLineChars="200"/>
        <w:rPr>
          <w:rFonts w:ascii="宋体" w:hAnsi="宋体"/>
          <w:bCs/>
          <w:sz w:val="28"/>
          <w:szCs w:val="28"/>
          <w:lang w:val="zh-CN"/>
        </w:rPr>
      </w:pPr>
      <w:r>
        <w:rPr>
          <w:rFonts w:ascii="宋体" w:hAnsi="宋体"/>
          <w:bCs/>
          <w:snapToGrid w:val="0"/>
          <w:sz w:val="28"/>
          <w:szCs w:val="28"/>
          <w:lang w:val="zh-CN"/>
        </w:rPr>
        <w:t>9.2</w:t>
      </w:r>
      <w:r>
        <w:rPr>
          <w:rFonts w:hint="eastAsia" w:ascii="宋体" w:hAnsi="宋体"/>
          <w:bCs/>
          <w:sz w:val="28"/>
          <w:szCs w:val="28"/>
          <w:lang w:val="zh-CN"/>
        </w:rPr>
        <w:t xml:space="preserve"> 谈判文件</w:t>
      </w:r>
      <w:r>
        <w:rPr>
          <w:rFonts w:hint="eastAsia" w:ascii="宋体" w:hAnsi="宋体"/>
          <w:bCs/>
          <w:sz w:val="28"/>
          <w:szCs w:val="28"/>
        </w:rPr>
        <w:t>以中文编写。为便于报价供应商编制报价文件，采购机构可以向报价供应商提供电子版</w:t>
      </w:r>
      <w:r>
        <w:rPr>
          <w:rFonts w:hint="eastAsia" w:ascii="宋体" w:hAnsi="宋体"/>
          <w:bCs/>
          <w:sz w:val="28"/>
          <w:szCs w:val="28"/>
          <w:lang w:val="zh-CN"/>
        </w:rPr>
        <w:t>谈判文件</w:t>
      </w:r>
      <w:r>
        <w:rPr>
          <w:rFonts w:hint="eastAsia" w:ascii="宋体" w:hAnsi="宋体"/>
          <w:bCs/>
          <w:sz w:val="28"/>
          <w:szCs w:val="28"/>
        </w:rPr>
        <w:t>，纸质版与电子版</w:t>
      </w:r>
      <w:r>
        <w:rPr>
          <w:rFonts w:hint="eastAsia" w:ascii="宋体" w:hAnsi="宋体"/>
          <w:bCs/>
          <w:sz w:val="28"/>
          <w:szCs w:val="28"/>
          <w:lang w:val="zh-CN"/>
        </w:rPr>
        <w:t>谈判文件内容</w:t>
      </w:r>
      <w:r>
        <w:rPr>
          <w:rFonts w:hint="eastAsia" w:ascii="宋体" w:hAnsi="宋体"/>
          <w:bCs/>
          <w:sz w:val="28"/>
          <w:szCs w:val="28"/>
        </w:rPr>
        <w:t>不一致的，以纸质版为准。</w:t>
      </w:r>
    </w:p>
    <w:p>
      <w:pPr>
        <w:pStyle w:val="6"/>
        <w:adjustRightInd w:val="0"/>
        <w:snapToGrid w:val="0"/>
        <w:spacing w:line="560" w:lineRule="exact"/>
        <w:ind w:firstLine="560" w:firstLineChars="200"/>
        <w:rPr>
          <w:rFonts w:hint="default" w:ascii="黑体" w:hAnsi="黑体"/>
          <w:b w:val="0"/>
          <w:sz w:val="28"/>
          <w:szCs w:val="28"/>
        </w:rPr>
      </w:pPr>
      <w:bookmarkStart w:id="76" w:name="_Toc18273"/>
      <w:bookmarkStart w:id="77" w:name="_Toc112768390"/>
      <w:bookmarkStart w:id="78" w:name="_Toc4535"/>
      <w:bookmarkStart w:id="79" w:name="_Toc46"/>
      <w:bookmarkStart w:id="80" w:name="_Toc21246"/>
      <w:bookmarkStart w:id="81" w:name="_Toc23562"/>
      <w:r>
        <w:rPr>
          <w:rFonts w:ascii="黑体" w:hAnsi="黑体"/>
          <w:b w:val="0"/>
          <w:sz w:val="28"/>
          <w:szCs w:val="28"/>
        </w:rPr>
        <w:t>10.谈判文件的澄清</w:t>
      </w:r>
      <w:bookmarkEnd w:id="76"/>
      <w:bookmarkEnd w:id="77"/>
      <w:bookmarkEnd w:id="78"/>
      <w:bookmarkEnd w:id="79"/>
      <w:bookmarkEnd w:id="80"/>
      <w:bookmarkEnd w:id="81"/>
      <w:r>
        <w:rPr>
          <w:rFonts w:ascii="黑体" w:hAnsi="黑体"/>
          <w:b w:val="0"/>
          <w:sz w:val="28"/>
          <w:szCs w:val="28"/>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10.1供应商对谈判文件如有疑问要求澄清，应当在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提交首次报价文件截止之日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已申领谈判文件的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10.2提交首次</w:t>
      </w:r>
      <w:r>
        <w:rPr>
          <w:rFonts w:hint="eastAsia" w:ascii="宋体" w:hAnsi="宋体"/>
          <w:bCs/>
          <w:sz w:val="28"/>
          <w:szCs w:val="28"/>
        </w:rPr>
        <w:t>报价文件截止时间前，采购机构可以对已发出的谈判文件进行必要的澄清和修改。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10.3澄清的内容不影响报价文件编制的，采购机构可以采取发布澄清公告或书面函告等形式通知所有已申领谈判文件的供应商。澄清的内容为谈判文件的组成部分。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3个工作日，发布公告并且书面函告所有已申领谈判文件的供应商；不足3个工作日的，将相应顺延提交报价文件的截止时间。有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采购标的、关键技术参数、资格条件等内容需修改的，采购机构将重新发布竞争性谈判公告，并书面函告所有已申领谈判文件的供应商。</w:t>
      </w:r>
    </w:p>
    <w:p>
      <w:pPr>
        <w:pStyle w:val="5"/>
        <w:keepNext w:val="0"/>
        <w:keepLines w:val="0"/>
        <w:adjustRightInd w:val="0"/>
        <w:snapToGrid w:val="0"/>
        <w:spacing w:before="120" w:beforeLines="50" w:after="120" w:afterLines="50" w:line="560" w:lineRule="exact"/>
        <w:jc w:val="center"/>
        <w:rPr>
          <w:b w:val="0"/>
        </w:rPr>
      </w:pPr>
      <w:bookmarkStart w:id="82" w:name="_Toc112317769"/>
      <w:bookmarkStart w:id="83" w:name="_Toc20631"/>
      <w:bookmarkStart w:id="84" w:name="_Toc112768392"/>
      <w:bookmarkStart w:id="85" w:name="_Toc8610"/>
      <w:bookmarkStart w:id="86" w:name="_Toc2569"/>
      <w:bookmarkStart w:id="87" w:name="_Toc17046"/>
      <w:bookmarkStart w:id="88" w:name="_Toc12048"/>
      <w:bookmarkStart w:id="89" w:name="_Toc150421211"/>
      <w:bookmarkStart w:id="90" w:name="_Toc152058254"/>
      <w:r>
        <w:rPr>
          <w:rFonts w:hint="eastAsia"/>
          <w:b w:val="0"/>
        </w:rPr>
        <w:t>三、</w:t>
      </w:r>
      <w:bookmarkEnd w:id="82"/>
      <w:r>
        <w:rPr>
          <w:rFonts w:hint="eastAsia"/>
          <w:b w:val="0"/>
        </w:rPr>
        <w:t>报价文件</w:t>
      </w:r>
      <w:bookmarkEnd w:id="83"/>
      <w:bookmarkEnd w:id="84"/>
      <w:bookmarkEnd w:id="85"/>
      <w:bookmarkEnd w:id="86"/>
      <w:bookmarkEnd w:id="87"/>
      <w:bookmarkEnd w:id="88"/>
      <w:r>
        <w:rPr>
          <w:rFonts w:hint="eastAsia"/>
          <w:b w:val="0"/>
        </w:rPr>
        <w:t>的基本要求</w:t>
      </w:r>
      <w:bookmarkEnd w:id="89"/>
      <w:bookmarkEnd w:id="90"/>
    </w:p>
    <w:p>
      <w:pPr>
        <w:pStyle w:val="6"/>
        <w:adjustRightInd w:val="0"/>
        <w:snapToGrid w:val="0"/>
        <w:spacing w:line="560" w:lineRule="exact"/>
        <w:ind w:firstLine="560" w:firstLineChars="200"/>
        <w:rPr>
          <w:rFonts w:hint="default" w:ascii="黑体" w:hAnsi="黑体"/>
          <w:b w:val="0"/>
          <w:sz w:val="28"/>
          <w:szCs w:val="28"/>
        </w:rPr>
      </w:pPr>
      <w:bookmarkStart w:id="91" w:name="_Toc11577"/>
      <w:bookmarkStart w:id="92" w:name="_Toc2811"/>
      <w:bookmarkStart w:id="93" w:name="_Toc15288"/>
      <w:bookmarkStart w:id="94" w:name="_Toc22222"/>
      <w:bookmarkStart w:id="95" w:name="_Toc18494"/>
      <w:bookmarkStart w:id="96" w:name="_Toc112768393"/>
      <w:r>
        <w:rPr>
          <w:rFonts w:ascii="黑体" w:hAnsi="黑体"/>
          <w:b w:val="0"/>
          <w:sz w:val="28"/>
          <w:szCs w:val="28"/>
        </w:rPr>
        <w:t>11.编制要求</w:t>
      </w:r>
      <w:bookmarkEnd w:id="91"/>
      <w:bookmarkEnd w:id="92"/>
      <w:bookmarkEnd w:id="93"/>
      <w:bookmarkEnd w:id="94"/>
      <w:bookmarkEnd w:id="95"/>
      <w:bookmarkEnd w:id="96"/>
    </w:p>
    <w:p>
      <w:pPr>
        <w:autoSpaceDE w:val="0"/>
        <w:autoSpaceDN w:val="0"/>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lang w:val="zh-CN"/>
        </w:rPr>
        <w:t>11.1</w:t>
      </w:r>
      <w:r>
        <w:rPr>
          <w:rFonts w:hint="eastAsia" w:ascii="宋体" w:hAnsi="宋体"/>
          <w:bCs/>
          <w:snapToGrid w:val="0"/>
          <w:sz w:val="28"/>
          <w:szCs w:val="28"/>
          <w:lang w:val="zh-CN"/>
        </w:rPr>
        <w:t>报价</w:t>
      </w:r>
      <w:r>
        <w:rPr>
          <w:rFonts w:hint="eastAsia" w:asciiTheme="minorEastAsia" w:hAnsiTheme="minorEastAsia" w:eastAsiaTheme="minorEastAsia"/>
          <w:bCs/>
          <w:snapToGrid w:val="0"/>
          <w:sz w:val="28"/>
          <w:szCs w:val="28"/>
          <w:lang w:val="zh-CN"/>
        </w:rPr>
        <w:t>供应商</w:t>
      </w:r>
      <w:r>
        <w:rPr>
          <w:rFonts w:hint="eastAsia" w:asciiTheme="minorEastAsia" w:hAnsiTheme="minorEastAsia" w:eastAsiaTheme="minorEastAsia"/>
          <w:bCs/>
          <w:snapToGrid w:val="0"/>
          <w:sz w:val="28"/>
          <w:szCs w:val="28"/>
        </w:rPr>
        <w:t>应当仔细阅读谈判文件，在完全了解全部内容后，依法真实编制报价文件。</w:t>
      </w:r>
    </w:p>
    <w:p>
      <w:pPr>
        <w:pStyle w:val="6"/>
        <w:adjustRightInd w:val="0"/>
        <w:snapToGrid w:val="0"/>
        <w:spacing w:line="560" w:lineRule="exact"/>
        <w:ind w:firstLine="560" w:firstLineChars="200"/>
        <w:rPr>
          <w:rFonts w:hint="default" w:ascii="黑体" w:hAnsi="黑体"/>
          <w:b w:val="0"/>
          <w:sz w:val="28"/>
          <w:szCs w:val="28"/>
        </w:rPr>
      </w:pPr>
      <w:bookmarkStart w:id="97" w:name="_Toc16818"/>
      <w:bookmarkStart w:id="98" w:name="_Toc17826"/>
      <w:bookmarkStart w:id="99" w:name="_Toc112768394"/>
      <w:bookmarkStart w:id="100" w:name="_Toc1531"/>
      <w:bookmarkStart w:id="101" w:name="_Toc29333"/>
      <w:bookmarkStart w:id="102" w:name="_Toc20054"/>
      <w:r>
        <w:rPr>
          <w:rFonts w:ascii="黑体" w:hAnsi="黑体"/>
          <w:b w:val="0"/>
          <w:sz w:val="28"/>
          <w:szCs w:val="28"/>
        </w:rPr>
        <w:t>12.报价文件的语言及计量单位</w:t>
      </w:r>
      <w:bookmarkEnd w:id="97"/>
      <w:bookmarkEnd w:id="98"/>
      <w:bookmarkEnd w:id="99"/>
      <w:bookmarkEnd w:id="100"/>
      <w:bookmarkEnd w:id="101"/>
      <w:bookmarkEnd w:id="102"/>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12.1报价文件和</w:t>
      </w:r>
      <w:r>
        <w:rPr>
          <w:rFonts w:hint="eastAsia" w:ascii="宋体" w:hAnsi="宋体"/>
          <w:bCs/>
          <w:sz w:val="28"/>
          <w:szCs w:val="28"/>
          <w:lang w:val="zh-CN"/>
        </w:rPr>
        <w:t>报价</w:t>
      </w:r>
      <w:r>
        <w:rPr>
          <w:rFonts w:hint="eastAsia"/>
          <w:bCs/>
          <w:snapToGrid w:val="0"/>
          <w:sz w:val="28"/>
          <w:szCs w:val="28"/>
          <w:lang w:val="zh-CN"/>
        </w:rPr>
        <w:t>供应商与采购机构就有关谈判的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03" w:name="_Hlk130370619"/>
      <w:r>
        <w:rPr>
          <w:rFonts w:hint="eastAsia" w:ascii="黑体" w:hAnsi="黑体" w:eastAsia="黑体"/>
          <w:bCs/>
          <w:sz w:val="28"/>
          <w:szCs w:val="28"/>
          <w:lang w:val="zh-CN"/>
        </w:rPr>
        <w:t>应当</w:t>
      </w:r>
      <w:bookmarkEnd w:id="103"/>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12.2报价文件中所使用的计量单位，除报价文件中有特殊要求外，均采用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6"/>
        <w:adjustRightInd w:val="0"/>
        <w:snapToGrid w:val="0"/>
        <w:spacing w:line="560" w:lineRule="exact"/>
        <w:ind w:firstLine="560" w:firstLineChars="200"/>
        <w:rPr>
          <w:rFonts w:hint="default" w:ascii="黑体" w:hAnsi="黑体"/>
          <w:b w:val="0"/>
          <w:sz w:val="28"/>
          <w:szCs w:val="28"/>
        </w:rPr>
      </w:pPr>
      <w:bookmarkStart w:id="104" w:name="_Toc9632"/>
      <w:bookmarkStart w:id="105" w:name="_Toc14297"/>
      <w:bookmarkStart w:id="106" w:name="_Toc14489"/>
      <w:bookmarkStart w:id="107" w:name="_Toc6931"/>
      <w:bookmarkStart w:id="108" w:name="_Toc13989"/>
      <w:bookmarkStart w:id="109" w:name="_Toc112768395"/>
      <w:r>
        <w:rPr>
          <w:rFonts w:ascii="黑体" w:hAnsi="黑体"/>
          <w:b w:val="0"/>
          <w:sz w:val="28"/>
          <w:szCs w:val="28"/>
        </w:rPr>
        <w:t>13.报价文件组成</w:t>
      </w:r>
      <w:bookmarkEnd w:id="104"/>
      <w:bookmarkEnd w:id="105"/>
      <w:bookmarkEnd w:id="106"/>
      <w:bookmarkEnd w:id="107"/>
      <w:bookmarkEnd w:id="108"/>
      <w:bookmarkEnd w:id="109"/>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13.1</w:t>
      </w:r>
      <w:r>
        <w:rPr>
          <w:rFonts w:hint="eastAsia" w:ascii="宋体" w:hAnsi="宋体"/>
          <w:bCs/>
          <w:sz w:val="28"/>
          <w:szCs w:val="28"/>
        </w:rPr>
        <w:t>报价文件一般由</w:t>
      </w:r>
      <w:bookmarkStart w:id="110" w:name="_Hlk112504983"/>
      <w:r>
        <w:rPr>
          <w:rFonts w:hint="eastAsia" w:ascii="黑体" w:hAnsi="黑体" w:eastAsia="黑体"/>
          <w:bCs/>
          <w:sz w:val="28"/>
          <w:szCs w:val="28"/>
        </w:rPr>
        <w:t>价格文件、</w:t>
      </w:r>
      <w:bookmarkStart w:id="111" w:name="_Hlk112353436"/>
      <w:r>
        <w:rPr>
          <w:rFonts w:hint="eastAsia" w:ascii="黑体" w:hAnsi="黑体" w:eastAsia="黑体"/>
          <w:bCs/>
          <w:sz w:val="28"/>
          <w:szCs w:val="28"/>
        </w:rPr>
        <w:t>商务技术</w:t>
      </w:r>
      <w:bookmarkEnd w:id="111"/>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三部分组成。每部分应当分别编制目录，具体要求详见第四部分报价</w:t>
      </w:r>
      <w:r>
        <w:rPr>
          <w:rFonts w:ascii="宋体" w:hAnsi="宋体"/>
          <w:bCs/>
          <w:sz w:val="28"/>
          <w:szCs w:val="28"/>
        </w:rPr>
        <w:t>文件内容及格式</w:t>
      </w:r>
      <w:r>
        <w:rPr>
          <w:rFonts w:hint="eastAsia" w:ascii="宋体" w:hAnsi="宋体"/>
          <w:bCs/>
          <w:sz w:val="28"/>
          <w:szCs w:val="28"/>
        </w:rPr>
        <w:t>。</w:t>
      </w:r>
    </w:p>
    <w:bookmarkEnd w:id="110"/>
    <w:p>
      <w:pPr>
        <w:pStyle w:val="6"/>
        <w:adjustRightInd w:val="0"/>
        <w:snapToGrid w:val="0"/>
        <w:spacing w:line="560" w:lineRule="exact"/>
        <w:ind w:firstLine="560" w:firstLineChars="200"/>
        <w:rPr>
          <w:rFonts w:hint="default" w:ascii="黑体" w:hAnsi="黑体"/>
          <w:b w:val="0"/>
          <w:sz w:val="28"/>
          <w:szCs w:val="28"/>
        </w:rPr>
      </w:pPr>
      <w:bookmarkStart w:id="112" w:name="_Toc31820"/>
      <w:bookmarkStart w:id="113" w:name="_Toc11551"/>
      <w:bookmarkStart w:id="114" w:name="_Toc21338"/>
      <w:bookmarkStart w:id="115" w:name="_Toc3619"/>
      <w:bookmarkStart w:id="116" w:name="_Toc97"/>
      <w:bookmarkStart w:id="117" w:name="_Toc112768396"/>
      <w:r>
        <w:rPr>
          <w:rFonts w:ascii="黑体" w:hAnsi="黑体"/>
          <w:b w:val="0"/>
          <w:sz w:val="28"/>
          <w:szCs w:val="28"/>
        </w:rPr>
        <w:t>14.报价文件的编制</w:t>
      </w:r>
      <w:bookmarkEnd w:id="112"/>
      <w:bookmarkEnd w:id="113"/>
      <w:bookmarkEnd w:id="114"/>
      <w:bookmarkEnd w:id="115"/>
      <w:bookmarkEnd w:id="116"/>
      <w:bookmarkEnd w:id="11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14.1</w:t>
      </w:r>
      <w:r>
        <w:rPr>
          <w:rFonts w:hint="eastAsia" w:asciiTheme="minorEastAsia" w:hAnsiTheme="minorEastAsia" w:eastAsiaTheme="minorEastAsia"/>
          <w:bCs/>
          <w:sz w:val="28"/>
          <w:szCs w:val="28"/>
        </w:rPr>
        <w:t>报价供应商应当按谈判文件第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条的内容与要求和第三章明确的格式编制报价文件。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w:t>
      </w:r>
      <w:r>
        <w:rPr>
          <w:rFonts w:hint="eastAsia" w:ascii="宋体" w:hAnsi="宋体"/>
          <w:bCs/>
          <w:sz w:val="28"/>
          <w:szCs w:val="28"/>
          <w:lang w:val="zh-CN"/>
        </w:rPr>
        <w:t>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（2）谈判文件已经明确物资明细的，应当严格按照明确的物资名称填写各行内容，不得自行增减，调整顺序的不影响报价有效性；未明确物资明细的，自行填写各行内容，应当包含所投所有物资。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14.5</w:t>
      </w:r>
      <w:r>
        <w:rPr>
          <w:rFonts w:hint="eastAsia" w:asciiTheme="minorEastAsia" w:hAnsiTheme="minorEastAsia" w:eastAsiaTheme="minorEastAsia"/>
          <w:bCs/>
          <w:sz w:val="28"/>
          <w:szCs w:val="28"/>
        </w:rPr>
        <w:t>报价文件正本应当打印，并按照谈判文件规定，应当盖章处加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14.6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4.7</w:t>
      </w:r>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14</w:t>
      </w: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6"/>
        <w:adjustRightInd w:val="0"/>
        <w:snapToGrid w:val="0"/>
        <w:spacing w:line="560" w:lineRule="exact"/>
        <w:ind w:firstLine="560" w:firstLineChars="200"/>
        <w:rPr>
          <w:rFonts w:hint="default" w:ascii="黑体" w:hAnsi="黑体"/>
          <w:b w:val="0"/>
          <w:sz w:val="28"/>
          <w:szCs w:val="28"/>
        </w:rPr>
      </w:pPr>
      <w:bookmarkStart w:id="118" w:name="_Toc112768397"/>
      <w:bookmarkStart w:id="119" w:name="_Toc21035"/>
      <w:bookmarkStart w:id="120" w:name="_Toc30409"/>
      <w:bookmarkStart w:id="121" w:name="_Toc13302"/>
      <w:bookmarkStart w:id="122" w:name="_Toc545"/>
      <w:bookmarkStart w:id="123" w:name="_Toc11908"/>
      <w:r>
        <w:rPr>
          <w:rFonts w:ascii="黑体" w:hAnsi="黑体"/>
          <w:b w:val="0"/>
          <w:sz w:val="28"/>
          <w:szCs w:val="28"/>
        </w:rPr>
        <w:t>15.报价有效期</w:t>
      </w:r>
      <w:bookmarkEnd w:id="118"/>
      <w:bookmarkEnd w:id="119"/>
      <w:bookmarkEnd w:id="120"/>
      <w:bookmarkEnd w:id="121"/>
      <w:bookmarkEnd w:id="122"/>
      <w:bookmarkEnd w:id="123"/>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15.1报价</w:t>
      </w:r>
      <w:r>
        <w:rPr>
          <w:rFonts w:hint="eastAsia" w:ascii="宋体" w:hAnsi="宋体"/>
          <w:bCs/>
          <w:sz w:val="28"/>
          <w:szCs w:val="28"/>
          <w:lang w:val="zh-CN"/>
        </w:rPr>
        <w:t>有效期从提交报价文件的截止之日起算。报价文件中承诺的谈判有效期应当不少于【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须知前附表】中载明的谈判有效期，否则视为无效报价。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15.2报价有效期需要延长的，采购机构可与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供应商进行协商，并以书面形式确认，谈判保证金有效期相应延长。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供应商拒绝延长有效期不影响退还谈判保证金。同意延长有效期的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6"/>
        <w:adjustRightInd w:val="0"/>
        <w:snapToGrid w:val="0"/>
        <w:spacing w:line="560" w:lineRule="exact"/>
        <w:ind w:firstLine="560" w:firstLineChars="200"/>
        <w:rPr>
          <w:rFonts w:hint="default" w:ascii="黑体" w:hAnsi="黑体"/>
          <w:b w:val="0"/>
          <w:sz w:val="28"/>
          <w:szCs w:val="28"/>
        </w:rPr>
      </w:pPr>
      <w:bookmarkStart w:id="124" w:name="_Toc31206"/>
      <w:bookmarkStart w:id="125" w:name="_Toc32522"/>
      <w:bookmarkStart w:id="126" w:name="_Toc3099"/>
      <w:bookmarkStart w:id="127" w:name="_Toc16433"/>
      <w:bookmarkStart w:id="128" w:name="_Toc112768398"/>
      <w:bookmarkStart w:id="129" w:name="_Toc9287"/>
      <w:r>
        <w:rPr>
          <w:rFonts w:ascii="黑体" w:hAnsi="黑体"/>
          <w:b w:val="0"/>
          <w:sz w:val="28"/>
          <w:szCs w:val="28"/>
        </w:rPr>
        <w:t>16.报价要求</w:t>
      </w:r>
      <w:bookmarkEnd w:id="124"/>
      <w:bookmarkEnd w:id="125"/>
      <w:bookmarkEnd w:id="126"/>
      <w:bookmarkEnd w:id="127"/>
      <w:bookmarkEnd w:id="128"/>
      <w:bookmarkEnd w:id="129"/>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16.1所有报价均以人民币为货币单位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16.4</w:t>
      </w:r>
      <w:r>
        <w:rPr>
          <w:rFonts w:hint="eastAsia" w:ascii="宋体" w:hAnsi="宋体"/>
          <w:bCs/>
          <w:sz w:val="28"/>
          <w:szCs w:val="28"/>
          <w:lang w:val="zh-CN"/>
        </w:rPr>
        <w:t>谈判报价的其他要求见【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6"/>
        <w:adjustRightInd w:val="0"/>
        <w:snapToGrid w:val="0"/>
        <w:spacing w:line="560" w:lineRule="exact"/>
        <w:ind w:firstLine="560" w:firstLineChars="200"/>
        <w:rPr>
          <w:rFonts w:hint="default" w:ascii="黑体" w:hAnsi="黑体"/>
          <w:b w:val="0"/>
          <w:sz w:val="28"/>
          <w:szCs w:val="28"/>
        </w:rPr>
      </w:pPr>
      <w:bookmarkStart w:id="130" w:name="_Toc28577"/>
      <w:bookmarkStart w:id="131" w:name="_Toc112768399"/>
      <w:bookmarkStart w:id="132" w:name="_Toc26562"/>
      <w:bookmarkStart w:id="133" w:name="_Toc7152"/>
      <w:bookmarkStart w:id="134" w:name="_Toc13739"/>
      <w:bookmarkStart w:id="135" w:name="_Toc9356"/>
      <w:r>
        <w:rPr>
          <w:rFonts w:ascii="黑体" w:hAnsi="黑体"/>
          <w:b w:val="0"/>
          <w:sz w:val="28"/>
          <w:szCs w:val="28"/>
        </w:rPr>
        <w:t>17.谈判保证金</w:t>
      </w:r>
      <w:bookmarkEnd w:id="130"/>
      <w:bookmarkEnd w:id="131"/>
      <w:bookmarkEnd w:id="132"/>
      <w:bookmarkEnd w:id="133"/>
      <w:bookmarkEnd w:id="134"/>
      <w:bookmarkEnd w:id="135"/>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17.1谈判</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17.2谈判</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rPr>
        <w:t>缴纳</w:t>
      </w:r>
      <w:r>
        <w:rPr>
          <w:rFonts w:hint="eastAsia" w:ascii="宋体" w:hAnsi="宋体"/>
          <w:bCs/>
          <w:sz w:val="28"/>
          <w:szCs w:val="28"/>
          <w:lang w:val="zh-CN"/>
        </w:rPr>
        <w:t>。采取汇款方式缴纳的，谈判保证金应当从报价供应商的银行账户缴纳且在报价截止时间前到达采购机构账户内，否则视为无效报价；报价供应商在汇款时应当在备注信息中注明本项目的编号及用途（如“项目编号，谈判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1份银行保函原件，谈判时单独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未按规定缴纳谈判保证金的，视为无效报价。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17.3</w:t>
      </w:r>
      <w:r>
        <w:rPr>
          <w:rFonts w:ascii="宋体" w:hAnsi="宋体"/>
          <w:bCs/>
          <w:sz w:val="28"/>
          <w:szCs w:val="28"/>
        </w:rPr>
        <w:t>成交供应商的谈判保证金，在签订正式合同后5个工作日内全额无息退还。未成交供应商的谈判保证金，将在采购机构发出未成交通知书后5个工作日内全额无息退还。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17.4有下列情况之一的，谈判保证金将不予退还：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在提交首次报价文件截止时间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在谈判有效期内撤回其报价文件的；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谈判或评审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成交供应商无正当理由不与采购单位订立合同，在签订合同时向采购单位提出附加条件，或不按照谈判文件要求提交履约保证金的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36" w:name="_Toc112317770"/>
    </w:p>
    <w:p>
      <w:pPr>
        <w:pStyle w:val="5"/>
        <w:keepNext w:val="0"/>
        <w:keepLines w:val="0"/>
        <w:adjustRightInd w:val="0"/>
        <w:snapToGrid w:val="0"/>
        <w:spacing w:before="120" w:beforeLines="50" w:after="120" w:afterLines="50" w:line="560" w:lineRule="exact"/>
        <w:jc w:val="center"/>
        <w:rPr>
          <w:b w:val="0"/>
        </w:rPr>
      </w:pPr>
      <w:bookmarkStart w:id="137" w:name="_Toc2551"/>
      <w:bookmarkStart w:id="138" w:name="_Toc26260"/>
      <w:bookmarkStart w:id="139" w:name="_Toc150421212"/>
      <w:bookmarkStart w:id="140" w:name="_Toc17138"/>
      <w:bookmarkStart w:id="141" w:name="_Toc1834"/>
      <w:bookmarkStart w:id="142" w:name="_Toc28556"/>
      <w:bookmarkStart w:id="143" w:name="_Toc112768400"/>
      <w:bookmarkStart w:id="144" w:name="_Toc152058255"/>
      <w:r>
        <w:rPr>
          <w:rFonts w:hint="eastAsia"/>
          <w:b w:val="0"/>
        </w:rPr>
        <w:t>四、报价文件提交</w:t>
      </w:r>
      <w:bookmarkEnd w:id="136"/>
      <w:bookmarkEnd w:id="137"/>
      <w:bookmarkEnd w:id="138"/>
      <w:bookmarkEnd w:id="139"/>
      <w:bookmarkEnd w:id="140"/>
      <w:bookmarkEnd w:id="141"/>
      <w:bookmarkEnd w:id="142"/>
      <w:bookmarkEnd w:id="143"/>
      <w:bookmarkEnd w:id="144"/>
    </w:p>
    <w:p>
      <w:pPr>
        <w:pStyle w:val="6"/>
        <w:adjustRightInd w:val="0"/>
        <w:snapToGrid w:val="0"/>
        <w:spacing w:line="560" w:lineRule="exact"/>
        <w:ind w:firstLine="560" w:firstLineChars="200"/>
        <w:rPr>
          <w:rFonts w:hint="default" w:ascii="黑体" w:hAnsi="黑体"/>
          <w:b w:val="0"/>
          <w:sz w:val="28"/>
          <w:szCs w:val="28"/>
        </w:rPr>
      </w:pPr>
      <w:bookmarkStart w:id="145" w:name="_Toc9678"/>
      <w:bookmarkStart w:id="146" w:name="_Toc13473"/>
      <w:bookmarkStart w:id="147" w:name="_Toc28622"/>
      <w:bookmarkStart w:id="148" w:name="_Toc112768401"/>
      <w:bookmarkStart w:id="149" w:name="_Toc16757"/>
      <w:bookmarkStart w:id="150" w:name="_Toc7142"/>
      <w:r>
        <w:rPr>
          <w:rFonts w:ascii="黑体" w:hAnsi="黑体"/>
          <w:b w:val="0"/>
          <w:sz w:val="28"/>
          <w:szCs w:val="28"/>
        </w:rPr>
        <w:t>18.报价文件密封及标记</w:t>
      </w:r>
      <w:bookmarkEnd w:id="145"/>
      <w:bookmarkEnd w:id="146"/>
      <w:bookmarkEnd w:id="147"/>
      <w:bookmarkEnd w:id="148"/>
      <w:bookmarkEnd w:id="149"/>
      <w:bookmarkEnd w:id="15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谈判</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报价文件截止时间前，将报价文件送达采购机构指定地点。</w:t>
      </w:r>
      <w:bookmarkStart w:id="151"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51"/>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18.5报价文件未按要求密封、标记的，采购机构将拒收。</w:t>
      </w:r>
    </w:p>
    <w:p>
      <w:pPr>
        <w:pStyle w:val="6"/>
        <w:adjustRightInd w:val="0"/>
        <w:snapToGrid w:val="0"/>
        <w:spacing w:line="560" w:lineRule="exact"/>
        <w:ind w:firstLine="560" w:firstLineChars="200"/>
        <w:rPr>
          <w:rFonts w:hint="default" w:ascii="黑体" w:hAnsi="黑体"/>
          <w:b w:val="0"/>
          <w:sz w:val="28"/>
          <w:szCs w:val="28"/>
        </w:rPr>
      </w:pPr>
      <w:bookmarkStart w:id="152" w:name="_Toc3846"/>
      <w:bookmarkStart w:id="153" w:name="_Toc17963"/>
      <w:bookmarkStart w:id="154" w:name="_Toc18991"/>
      <w:bookmarkStart w:id="155" w:name="_Toc112768402"/>
      <w:bookmarkStart w:id="156" w:name="_Toc7126"/>
      <w:bookmarkStart w:id="157" w:name="_Toc29345"/>
      <w:r>
        <w:rPr>
          <w:rFonts w:ascii="黑体" w:hAnsi="黑体"/>
          <w:b w:val="0"/>
          <w:sz w:val="28"/>
          <w:szCs w:val="28"/>
        </w:rPr>
        <w:t>19.报价文件的修改和撤回</w:t>
      </w:r>
      <w:bookmarkEnd w:id="152"/>
      <w:bookmarkEnd w:id="153"/>
      <w:bookmarkEnd w:id="154"/>
      <w:bookmarkEnd w:id="155"/>
      <w:bookmarkEnd w:id="156"/>
      <w:bookmarkEnd w:id="157"/>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lang w:val="zh-CN"/>
        </w:rPr>
        <w:t>提</w:t>
      </w:r>
      <w:r>
        <w:rPr>
          <w:rFonts w:ascii="宋体" w:hAnsi="宋体"/>
          <w:bCs/>
          <w:sz w:val="28"/>
          <w:szCs w:val="28"/>
        </w:rPr>
        <w:t>交</w:t>
      </w:r>
      <w:r>
        <w:rPr>
          <w:rFonts w:hint="eastAsia" w:ascii="宋体" w:hAnsi="宋体"/>
          <w:bCs/>
          <w:sz w:val="28"/>
          <w:szCs w:val="28"/>
        </w:rPr>
        <w:t>首次</w:t>
      </w:r>
      <w:r>
        <w:rPr>
          <w:rFonts w:ascii="宋体" w:hAnsi="宋体"/>
          <w:bCs/>
          <w:sz w:val="28"/>
          <w:szCs w:val="28"/>
        </w:rPr>
        <w:t>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采购机构，并按照谈判文件要求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19.2</w:t>
      </w:r>
      <w:r>
        <w:rPr>
          <w:rFonts w:hint="eastAsia" w:ascii="宋体" w:hAnsi="宋体"/>
          <w:bCs/>
          <w:sz w:val="28"/>
          <w:szCs w:val="28"/>
        </w:rPr>
        <w:t>报价</w:t>
      </w:r>
      <w:r>
        <w:rPr>
          <w:rFonts w:hint="eastAsia" w:ascii="宋体" w:hAnsi="宋体"/>
          <w:bCs/>
          <w:sz w:val="28"/>
          <w:szCs w:val="28"/>
          <w:lang w:val="zh-CN"/>
        </w:rPr>
        <w:t>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19.</w:t>
      </w:r>
      <w:r>
        <w:rPr>
          <w:rFonts w:ascii="宋体" w:hAnsi="宋体"/>
          <w:bCs/>
          <w:sz w:val="28"/>
          <w:szCs w:val="28"/>
        </w:rPr>
        <w:t>3</w:t>
      </w:r>
      <w:r>
        <w:rPr>
          <w:rFonts w:hint="eastAsia" w:ascii="宋体" w:hAnsi="宋体"/>
          <w:bCs/>
          <w:sz w:val="28"/>
          <w:szCs w:val="28"/>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密封送达谈判地点，并在封面上标明项目名称、项目编号、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谈判修改文件</w:t>
      </w:r>
      <w:r>
        <w:rPr>
          <w:rFonts w:hint="eastAsia" w:ascii="宋体" w:hAnsi="宋体"/>
          <w:bCs/>
          <w:sz w:val="28"/>
          <w:szCs w:val="28"/>
        </w:rPr>
        <w:t>”</w:t>
      </w:r>
      <w:r>
        <w:rPr>
          <w:rFonts w:ascii="宋体" w:hAnsi="宋体"/>
          <w:bCs/>
          <w:sz w:val="28"/>
          <w:szCs w:val="28"/>
        </w:rPr>
        <w:t>“谈判时启封”字样。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19.4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应当以书面形式通知采购机构。采取电报或传真形式撤回谈判的，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19.5</w:t>
      </w:r>
      <w:bookmarkStart w:id="158" w:name="_Hlk150331220"/>
      <w:bookmarkStart w:id="159" w:name="_Toc112317771"/>
      <w:r>
        <w:rPr>
          <w:rFonts w:hint="eastAsia" w:ascii="宋体" w:hAnsi="宋体"/>
          <w:bCs/>
          <w:sz w:val="28"/>
          <w:szCs w:val="28"/>
        </w:rPr>
        <w:t>报价供应商在提交首次报价文件截止时间后，至谈判结束前，均不得撤回报价文件。供应商在进入谈判至提交最终报价前，可以根据谈判进展情况退出谈判；退出谈判的，不计入评审排名，应退还谈判保证金；退出谈判且撤回报价文件的，不予退还谈判保证金</w:t>
      </w:r>
      <w:bookmarkEnd w:id="158"/>
      <w:r>
        <w:rPr>
          <w:rFonts w:hint="eastAsia" w:ascii="宋体" w:hAnsi="宋体"/>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160" w:name="_Toc24026"/>
      <w:bookmarkStart w:id="161" w:name="_Toc7001"/>
      <w:bookmarkStart w:id="162" w:name="_Toc14953"/>
      <w:bookmarkStart w:id="163" w:name="_Toc4312"/>
      <w:bookmarkStart w:id="164" w:name="_Toc150421213"/>
      <w:bookmarkStart w:id="165" w:name="_Toc112768403"/>
      <w:bookmarkStart w:id="166" w:name="_Toc24471"/>
      <w:bookmarkStart w:id="167" w:name="_Toc152058256"/>
      <w:r>
        <w:rPr>
          <w:rFonts w:hint="eastAsia"/>
          <w:b w:val="0"/>
        </w:rPr>
        <w:t>五、</w:t>
      </w:r>
      <w:bookmarkEnd w:id="159"/>
      <w:r>
        <w:rPr>
          <w:rFonts w:hint="eastAsia"/>
          <w:b w:val="0"/>
        </w:rPr>
        <w:t>谈判与评审</w:t>
      </w:r>
      <w:bookmarkEnd w:id="160"/>
      <w:bookmarkEnd w:id="161"/>
      <w:bookmarkEnd w:id="162"/>
      <w:bookmarkEnd w:id="163"/>
      <w:bookmarkEnd w:id="164"/>
      <w:bookmarkEnd w:id="165"/>
      <w:bookmarkEnd w:id="166"/>
      <w:bookmarkEnd w:id="167"/>
    </w:p>
    <w:p>
      <w:pPr>
        <w:pStyle w:val="6"/>
        <w:adjustRightInd w:val="0"/>
        <w:snapToGrid w:val="0"/>
        <w:spacing w:line="560" w:lineRule="exact"/>
        <w:ind w:firstLine="560" w:firstLineChars="200"/>
        <w:rPr>
          <w:rFonts w:hint="default" w:ascii="黑体" w:hAnsi="黑体"/>
          <w:b w:val="0"/>
          <w:sz w:val="28"/>
          <w:szCs w:val="28"/>
        </w:rPr>
      </w:pPr>
      <w:bookmarkStart w:id="168" w:name="_Toc15066"/>
      <w:bookmarkStart w:id="169" w:name="_Toc20834"/>
      <w:bookmarkStart w:id="170" w:name="_Toc112768404"/>
      <w:bookmarkStart w:id="171" w:name="_Toc2752"/>
      <w:bookmarkStart w:id="172" w:name="_Toc4028"/>
      <w:bookmarkStart w:id="173" w:name="_Toc31840"/>
      <w:r>
        <w:rPr>
          <w:rFonts w:ascii="黑体" w:hAnsi="黑体"/>
          <w:b w:val="0"/>
          <w:sz w:val="28"/>
          <w:szCs w:val="28"/>
        </w:rPr>
        <w:t>20.报价文件开启</w:t>
      </w:r>
    </w:p>
    <w:p>
      <w:pPr>
        <w:autoSpaceDE w:val="0"/>
        <w:autoSpaceDN w:val="0"/>
        <w:adjustRightInd w:val="0"/>
        <w:snapToGrid w:val="0"/>
        <w:spacing w:line="560" w:lineRule="exact"/>
        <w:ind w:firstLine="560" w:firstLineChars="200"/>
        <w:rPr>
          <w:rFonts w:ascii="宋体" w:hAnsi="宋体"/>
          <w:b/>
          <w:snapToGrid w:val="0"/>
          <w:lang w:val="zh-CN"/>
        </w:rPr>
      </w:pPr>
      <w:r>
        <w:rPr>
          <w:rFonts w:ascii="宋体" w:hAnsi="宋体"/>
          <w:bCs/>
          <w:snapToGrid w:val="0"/>
          <w:sz w:val="28"/>
          <w:szCs w:val="28"/>
          <w:lang w:val="zh-CN"/>
        </w:rPr>
        <w:t>20.1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一般不得组织谈判，满足第</w:t>
      </w:r>
      <w:r>
        <w:rPr>
          <w:rFonts w:ascii="宋体" w:hAnsi="宋体"/>
          <w:bCs/>
          <w:sz w:val="28"/>
          <w:szCs w:val="28"/>
        </w:rPr>
        <w:t>41.1</w:t>
      </w:r>
      <w:r>
        <w:rPr>
          <w:rFonts w:hint="eastAsia" w:ascii="宋体" w:hAnsi="宋体"/>
          <w:bCs/>
          <w:sz w:val="28"/>
          <w:szCs w:val="28"/>
        </w:rPr>
        <w:t>条情形的除外。</w:t>
      </w:r>
      <w:r>
        <w:rPr>
          <w:rFonts w:ascii="宋体" w:hAnsi="宋体"/>
          <w:bCs/>
          <w:snapToGrid w:val="0"/>
          <w:sz w:val="28"/>
          <w:szCs w:val="28"/>
          <w:lang w:val="zh-CN"/>
        </w:rPr>
        <w:t>报价文件开启时间及地点见【</w:t>
      </w:r>
      <w:r>
        <w:rPr>
          <w:rFonts w:hint="eastAsia" w:asciiTheme="minorEastAsia" w:hAnsiTheme="minorEastAsia" w:eastAsiaTheme="minorEastAsia"/>
          <w:bCs/>
          <w:sz w:val="28"/>
          <w:szCs w:val="28"/>
        </w:rPr>
        <w:t>报价供应商</w:t>
      </w:r>
      <w:r>
        <w:rPr>
          <w:rFonts w:hint="eastAsia" w:ascii="宋体" w:hAnsi="宋体"/>
          <w:bCs/>
          <w:snapToGrid w:val="0"/>
          <w:sz w:val="28"/>
          <w:szCs w:val="28"/>
          <w:lang w:val="zh-CN"/>
        </w:rPr>
        <w:t>须知前附表】。</w:t>
      </w:r>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21.评审</w:t>
      </w:r>
      <w:bookmarkEnd w:id="168"/>
      <w:bookmarkEnd w:id="169"/>
      <w:bookmarkEnd w:id="170"/>
      <w:bookmarkEnd w:id="171"/>
      <w:bookmarkEnd w:id="172"/>
      <w:bookmarkEnd w:id="173"/>
      <w:r>
        <w:rPr>
          <w:rFonts w:ascii="黑体" w:hAnsi="黑体"/>
          <w:b w:val="0"/>
          <w:sz w:val="28"/>
          <w:szCs w:val="28"/>
        </w:rPr>
        <w:t>原则</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21.1评审原则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）严格依据谈判文件规定的评审方法、程序和标准评审。不得以投票表决等形式修改谈判文件规定的评审方法、程序和标准；谈判文件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对谈判文件和报价文件的解释澄清，在不改变文件原义的前提下，应当以有利于报价供应商为原则。</w:t>
      </w:r>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22.评审方法</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22.1评</w:t>
      </w:r>
      <w:r>
        <w:rPr>
          <w:rFonts w:hint="eastAsia" w:ascii="宋体" w:hAnsi="宋体"/>
          <w:bCs/>
          <w:sz w:val="28"/>
          <w:szCs w:val="28"/>
        </w:rPr>
        <w:t>审</w:t>
      </w:r>
      <w:r>
        <w:rPr>
          <w:rFonts w:ascii="宋体" w:hAnsi="宋体"/>
          <w:bCs/>
          <w:sz w:val="28"/>
          <w:szCs w:val="28"/>
        </w:rPr>
        <w:t>方法</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采购机构在【报价供应商须知前附表】中明确采用下列一种评审方法：</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综合评分法，是指报价文件满足谈判文件资格性和符合性要求，将按照评审标准综合评审得分最高的报价供应商，作为预成交供应商的评审方法。采用百分制评分。</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经评审的最低价法，是指报价文件满足谈判文件资格性和符合性要求，将报价最低的报价供应商，作为预成交供应商的评审方法。</w:t>
      </w:r>
    </w:p>
    <w:p>
      <w:pPr>
        <w:pStyle w:val="6"/>
        <w:adjustRightInd w:val="0"/>
        <w:snapToGrid w:val="0"/>
        <w:spacing w:line="560" w:lineRule="exact"/>
        <w:ind w:firstLine="560" w:firstLineChars="200"/>
        <w:rPr>
          <w:rFonts w:hint="default" w:ascii="黑体" w:hAnsi="黑体"/>
          <w:b w:val="0"/>
          <w:sz w:val="28"/>
          <w:szCs w:val="28"/>
        </w:rPr>
      </w:pPr>
      <w:bookmarkStart w:id="174" w:name="_Toc13655"/>
      <w:bookmarkStart w:id="175" w:name="_Toc30020"/>
      <w:bookmarkStart w:id="176" w:name="_Toc17122"/>
      <w:bookmarkStart w:id="177" w:name="_Toc29240"/>
      <w:bookmarkStart w:id="178" w:name="_Toc112768406"/>
      <w:bookmarkStart w:id="179" w:name="_Toc14078"/>
      <w:r>
        <w:rPr>
          <w:rFonts w:ascii="黑体" w:hAnsi="黑体"/>
          <w:b w:val="0"/>
          <w:sz w:val="28"/>
          <w:szCs w:val="28"/>
        </w:rPr>
        <w:t>23.评审标准</w:t>
      </w:r>
      <w:bookmarkEnd w:id="174"/>
      <w:bookmarkEnd w:id="175"/>
      <w:bookmarkEnd w:id="176"/>
      <w:bookmarkEnd w:id="177"/>
      <w:bookmarkEnd w:id="178"/>
      <w:bookmarkEnd w:id="179"/>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23.1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23.2</w:t>
      </w:r>
      <w:bookmarkStart w:id="180" w:name="_Hlk112422244"/>
      <w:r>
        <w:rPr>
          <w:rFonts w:hint="eastAsia" w:ascii="宋体" w:hAnsi="宋体"/>
          <w:bCs/>
          <w:sz w:val="28"/>
          <w:szCs w:val="28"/>
        </w:rPr>
        <w:t>符合性审查标准</w:t>
      </w:r>
      <w:bookmarkEnd w:id="180"/>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23.3</w:t>
      </w:r>
      <w:r>
        <w:rPr>
          <w:rFonts w:hint="eastAsia" w:ascii="宋体" w:hAnsi="宋体"/>
          <w:bCs/>
          <w:sz w:val="28"/>
          <w:szCs w:val="28"/>
        </w:rPr>
        <w:t>采用综合评分法评审：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1）商务评审标准，见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2）技术评审标准，见</w:t>
      </w:r>
      <w:r>
        <w:rPr>
          <w:rFonts w:hint="eastAsia" w:ascii="宋体" w:hAnsi="宋体"/>
          <w:bCs/>
          <w:sz w:val="28"/>
          <w:szCs w:val="28"/>
        </w:rPr>
        <w:t>【</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3）价格评审标准，见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adjustRightInd w:val="0"/>
        <w:snapToGrid w:val="0"/>
        <w:spacing w:line="560" w:lineRule="exact"/>
        <w:ind w:firstLine="560" w:firstLineChars="200"/>
        <w:rPr>
          <w:rFonts w:hint="default" w:ascii="黑体" w:hAnsi="黑体"/>
          <w:b w:val="0"/>
          <w:sz w:val="28"/>
          <w:szCs w:val="28"/>
        </w:rPr>
      </w:pPr>
      <w:bookmarkStart w:id="181" w:name="_Toc1538"/>
      <w:bookmarkStart w:id="182" w:name="_Toc29467"/>
      <w:bookmarkStart w:id="183" w:name="_Toc29341"/>
      <w:bookmarkStart w:id="184" w:name="_Toc112768407"/>
      <w:bookmarkStart w:id="185" w:name="_Toc17630"/>
      <w:bookmarkStart w:id="186" w:name="_Toc22128"/>
      <w:r>
        <w:rPr>
          <w:rFonts w:ascii="黑体" w:hAnsi="黑体"/>
          <w:b w:val="0"/>
          <w:sz w:val="28"/>
          <w:szCs w:val="28"/>
        </w:rPr>
        <w:t>24.谈判和评审程序</w:t>
      </w:r>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按照资格性审查、召开评审预备会、审阅</w:t>
      </w:r>
      <w:r>
        <w:rPr>
          <w:rFonts w:ascii="宋体" w:hAnsi="宋体"/>
          <w:bCs/>
          <w:sz w:val="28"/>
          <w:szCs w:val="28"/>
        </w:rPr>
        <w:t>谈判文件、</w:t>
      </w:r>
      <w:r>
        <w:rPr>
          <w:rFonts w:hint="eastAsia" w:ascii="宋体" w:hAnsi="宋体"/>
          <w:bCs/>
          <w:sz w:val="28"/>
          <w:szCs w:val="28"/>
        </w:rPr>
        <w:t>符合性审查、</w:t>
      </w:r>
      <w:r>
        <w:rPr>
          <w:rFonts w:ascii="宋体" w:hAnsi="宋体"/>
          <w:bCs/>
          <w:sz w:val="28"/>
          <w:szCs w:val="28"/>
        </w:rPr>
        <w:t>谈判</w:t>
      </w:r>
      <w:r>
        <w:rPr>
          <w:rFonts w:hint="eastAsia" w:ascii="宋体" w:hAnsi="宋体"/>
          <w:bCs/>
          <w:sz w:val="28"/>
          <w:szCs w:val="28"/>
        </w:rPr>
        <w:t>及报价、商务技术</w:t>
      </w:r>
      <w:r>
        <w:rPr>
          <w:rFonts w:ascii="宋体" w:hAnsi="宋体"/>
          <w:bCs/>
          <w:sz w:val="28"/>
          <w:szCs w:val="28"/>
        </w:rPr>
        <w:t>评审、</w:t>
      </w:r>
      <w:r>
        <w:rPr>
          <w:rFonts w:hint="eastAsia" w:ascii="宋体" w:hAnsi="宋体"/>
          <w:bCs/>
          <w:sz w:val="28"/>
          <w:szCs w:val="28"/>
        </w:rPr>
        <w:t>价格评审、复核评审结果、出具评审报告、宣布评审结果、公示评审结果的基本程序</w:t>
      </w:r>
      <w:r>
        <w:rPr>
          <w:rFonts w:asciiTheme="minorEastAsia" w:hAnsiTheme="minorEastAsia" w:eastAsiaTheme="minorEastAsia"/>
          <w:bCs/>
          <w:snapToGrid w:val="0"/>
          <w:sz w:val="28"/>
          <w:szCs w:val="28"/>
          <w:lang w:val="zh-CN"/>
        </w:rPr>
        <w:t>组织实施</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24.2谈判过程中</w:t>
      </w:r>
      <w:r>
        <w:rPr>
          <w:rFonts w:hint="eastAsia" w:ascii="宋体" w:hAnsi="宋体"/>
          <w:bCs/>
          <w:sz w:val="28"/>
          <w:szCs w:val="28"/>
        </w:rPr>
        <w:t>，</w:t>
      </w:r>
      <w:r>
        <w:rPr>
          <w:rFonts w:ascii="宋体" w:hAnsi="宋体"/>
          <w:bCs/>
          <w:sz w:val="28"/>
          <w:szCs w:val="28"/>
        </w:rPr>
        <w:t>谈判的任何一方不得向他人透露与谈判有关的技术</w:t>
      </w:r>
      <w:r>
        <w:rPr>
          <w:rFonts w:hint="eastAsia" w:ascii="宋体" w:hAnsi="宋体"/>
          <w:bCs/>
          <w:sz w:val="28"/>
          <w:szCs w:val="28"/>
        </w:rPr>
        <w:t>材料</w:t>
      </w:r>
      <w:r>
        <w:rPr>
          <w:rFonts w:ascii="宋体" w:hAnsi="宋体"/>
          <w:bCs/>
          <w:sz w:val="28"/>
          <w:szCs w:val="28"/>
        </w:rPr>
        <w:t>、价格或其他信息。</w:t>
      </w:r>
    </w:p>
    <w:p>
      <w:pPr>
        <w:pStyle w:val="6"/>
        <w:adjustRightInd w:val="0"/>
        <w:snapToGrid w:val="0"/>
        <w:spacing w:line="560" w:lineRule="exact"/>
        <w:ind w:firstLine="560" w:firstLineChars="200"/>
        <w:rPr>
          <w:rFonts w:hint="default" w:ascii="黑体" w:hAnsi="黑体"/>
          <w:b w:val="0"/>
          <w:sz w:val="28"/>
          <w:szCs w:val="28"/>
        </w:rPr>
      </w:pPr>
      <w:bookmarkStart w:id="187" w:name="_Toc18284"/>
      <w:bookmarkStart w:id="188" w:name="_Toc2376"/>
      <w:bookmarkStart w:id="189" w:name="_Toc3904"/>
      <w:bookmarkStart w:id="190" w:name="_Toc5447"/>
      <w:bookmarkStart w:id="191" w:name="_Toc11634"/>
      <w:bookmarkStart w:id="192" w:name="_Toc112768408"/>
      <w:r>
        <w:rPr>
          <w:rFonts w:ascii="黑体" w:hAnsi="黑体"/>
          <w:b w:val="0"/>
          <w:sz w:val="28"/>
          <w:szCs w:val="28"/>
        </w:rPr>
        <w:t>25.资格性审查</w:t>
      </w:r>
      <w:bookmarkEnd w:id="187"/>
      <w:bookmarkEnd w:id="188"/>
      <w:bookmarkEnd w:id="189"/>
      <w:bookmarkEnd w:id="190"/>
      <w:bookmarkEnd w:id="191"/>
      <w:bookmarkEnd w:id="19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w:t>
      </w:r>
      <w:r>
        <w:rPr>
          <w:rFonts w:ascii="宋体" w:hAnsi="宋体"/>
          <w:bCs/>
          <w:sz w:val="28"/>
          <w:szCs w:val="28"/>
        </w:rPr>
        <w:t>依据谈判文件规定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1）通过</w:t>
      </w:r>
      <w:r>
        <w:rPr>
          <w:rFonts w:hint="eastAsia" w:ascii="宋体" w:hAnsi="宋体"/>
          <w:bCs/>
          <w:sz w:val="28"/>
          <w:szCs w:val="36"/>
        </w:rPr>
        <w:t>资格性审查</w:t>
      </w:r>
      <w:r>
        <w:rPr>
          <w:rFonts w:ascii="宋体" w:hAnsi="宋体"/>
          <w:bCs/>
          <w:sz w:val="28"/>
          <w:szCs w:val="36"/>
        </w:rPr>
        <w:t>的</w:t>
      </w:r>
      <w:r>
        <w:rPr>
          <w:rFonts w:hint="eastAsia" w:ascii="宋体" w:hAnsi="宋体"/>
          <w:bCs/>
          <w:sz w:val="28"/>
          <w:szCs w:val="36"/>
        </w:rPr>
        <w:t>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w:t>
      </w:r>
      <w:r>
        <w:rPr>
          <w:rFonts w:ascii="宋体" w:hAnsi="宋体"/>
          <w:bCs/>
          <w:sz w:val="28"/>
          <w:szCs w:val="36"/>
        </w:rPr>
        <w:t>2）审查人员应当对</w:t>
      </w:r>
      <w:r>
        <w:rPr>
          <w:rFonts w:hint="eastAsia" w:ascii="宋体" w:hAnsi="宋体"/>
          <w:bCs/>
          <w:sz w:val="28"/>
          <w:szCs w:val="36"/>
        </w:rPr>
        <w:t>资格性审查</w:t>
      </w:r>
      <w:r>
        <w:rPr>
          <w:rFonts w:ascii="宋体" w:hAnsi="宋体"/>
          <w:bCs/>
          <w:sz w:val="28"/>
          <w:szCs w:val="36"/>
        </w:rPr>
        <w:t>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w:t>
      </w:r>
      <w:r>
        <w:rPr>
          <w:rFonts w:hint="eastAsia" w:ascii="仿宋_GB2312" w:hAnsi="仿宋"/>
          <w:bCs/>
          <w:sz w:val="28"/>
          <w:szCs w:val="36"/>
        </w:rPr>
        <w:t>审查人员应当当场向未通过资格性审查的报价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25.2</w:t>
      </w:r>
      <w:r>
        <w:rPr>
          <w:rFonts w:hint="eastAsia" w:ascii="宋体" w:hAnsi="宋体"/>
          <w:bCs/>
          <w:sz w:val="28"/>
          <w:szCs w:val="28"/>
        </w:rPr>
        <w:t>竞争性谈判采购过程中，供应商发生合并、分立或破产等重大变化时，应当及时书面告知采购机构。</w:t>
      </w:r>
    </w:p>
    <w:p>
      <w:pPr>
        <w:pStyle w:val="6"/>
        <w:adjustRightInd w:val="0"/>
        <w:snapToGrid w:val="0"/>
        <w:spacing w:line="560" w:lineRule="exact"/>
        <w:ind w:firstLine="560" w:firstLineChars="200"/>
        <w:rPr>
          <w:rFonts w:hint="default" w:ascii="黑体" w:hAnsi="黑体"/>
          <w:b w:val="0"/>
          <w:sz w:val="28"/>
          <w:szCs w:val="28"/>
        </w:rPr>
      </w:pPr>
      <w:bookmarkStart w:id="193" w:name="_Toc9112"/>
      <w:bookmarkStart w:id="194" w:name="_Toc616"/>
      <w:bookmarkStart w:id="195" w:name="_Toc29816"/>
      <w:bookmarkStart w:id="196" w:name="_Toc112768409"/>
      <w:bookmarkStart w:id="197" w:name="_Toc31607"/>
      <w:bookmarkStart w:id="198" w:name="_Toc3776"/>
      <w:r>
        <w:rPr>
          <w:rFonts w:ascii="黑体" w:hAnsi="黑体"/>
          <w:b w:val="0"/>
          <w:sz w:val="28"/>
          <w:szCs w:val="28"/>
        </w:rPr>
        <w:t>26.召开评审预备会</w:t>
      </w:r>
    </w:p>
    <w:p>
      <w:pPr>
        <w:adjustRightInd w:val="0"/>
        <w:snapToGrid w:val="0"/>
        <w:spacing w:line="560" w:lineRule="exact"/>
        <w:ind w:firstLine="560" w:firstLineChars="200"/>
        <w:rPr>
          <w:rFonts w:ascii="仿宋_GB2312" w:hAnsi="仿宋"/>
          <w:bCs/>
          <w:sz w:val="28"/>
          <w:szCs w:val="36"/>
        </w:rPr>
      </w:pPr>
      <w:r>
        <w:rPr>
          <w:rFonts w:asciiTheme="minorEastAsia" w:hAnsiTheme="minorEastAsia" w:eastAsiaTheme="minorEastAsia"/>
          <w:bCs/>
          <w:sz w:val="28"/>
          <w:szCs w:val="36"/>
        </w:rPr>
        <w:t>26.1</w:t>
      </w:r>
      <w:r>
        <w:rPr>
          <w:rFonts w:hint="eastAsia" w:asciiTheme="minorEastAsia" w:hAnsiTheme="minorEastAsia" w:eastAsiaTheme="minorEastAsia"/>
          <w:bCs/>
          <w:sz w:val="28"/>
          <w:szCs w:val="36"/>
        </w:rPr>
        <w:t>采购机构组织评审委员会召开评审预备会。采购单位或采购机构介绍采购</w:t>
      </w:r>
      <w:r>
        <w:rPr>
          <w:rFonts w:hint="eastAsia" w:ascii="仿宋_GB2312" w:hAnsi="仿宋"/>
          <w:bCs/>
          <w:sz w:val="28"/>
          <w:szCs w:val="36"/>
        </w:rPr>
        <w:t>项目情况，采购机构重点说明评审标准和评审程序，并介绍谈判文件主要内容和质疑答复情况。评审委员会全体成员按照少数服从多数的原则，实名投票推选评审委员会组长。</w:t>
      </w:r>
    </w:p>
    <w:p>
      <w:pPr>
        <w:pStyle w:val="6"/>
        <w:adjustRightInd w:val="0"/>
        <w:snapToGrid w:val="0"/>
        <w:spacing w:line="560" w:lineRule="exact"/>
        <w:ind w:firstLine="560" w:firstLineChars="200"/>
        <w:rPr>
          <w:rFonts w:hint="default" w:ascii="黑体" w:hAnsi="黑体"/>
          <w:b w:val="0"/>
          <w:sz w:val="28"/>
          <w:szCs w:val="28"/>
        </w:rPr>
      </w:pPr>
      <w:bookmarkStart w:id="199" w:name="_Hlk127018299"/>
      <w:r>
        <w:rPr>
          <w:rFonts w:ascii="黑体" w:hAnsi="黑体"/>
          <w:b w:val="0"/>
          <w:sz w:val="28"/>
          <w:szCs w:val="28"/>
        </w:rPr>
        <w:t>27.审阅谈判文件</w:t>
      </w:r>
    </w:p>
    <w:p>
      <w:pPr>
        <w:spacing w:line="560" w:lineRule="exact"/>
        <w:ind w:firstLine="560" w:firstLineChars="200"/>
        <w:rPr>
          <w:rFonts w:asciiTheme="minorEastAsia" w:hAnsiTheme="minorEastAsia" w:eastAsiaTheme="minorEastAsia"/>
          <w:bCs/>
          <w:sz w:val="28"/>
          <w:szCs w:val="36"/>
        </w:rPr>
      </w:pPr>
      <w:r>
        <w:rPr>
          <w:rFonts w:hint="eastAsia" w:asciiTheme="minorEastAsia" w:hAnsiTheme="minorEastAsia" w:eastAsiaTheme="minorEastAsia"/>
          <w:bCs/>
          <w:sz w:val="28"/>
          <w:szCs w:val="36"/>
        </w:rPr>
        <w:t>2</w:t>
      </w:r>
      <w:r>
        <w:rPr>
          <w:rFonts w:asciiTheme="minorEastAsia" w:hAnsiTheme="minorEastAsia" w:eastAsiaTheme="minorEastAsia"/>
          <w:bCs/>
          <w:sz w:val="28"/>
          <w:szCs w:val="36"/>
        </w:rPr>
        <w:t>7.1</w:t>
      </w:r>
      <w:r>
        <w:rPr>
          <w:rFonts w:hint="eastAsia" w:asciiTheme="minorEastAsia" w:hAnsiTheme="minorEastAsia" w:eastAsiaTheme="minorEastAsia"/>
          <w:bCs/>
          <w:sz w:val="28"/>
          <w:szCs w:val="36"/>
        </w:rPr>
        <w:t>评审委员会在评审开始前审阅谈判文件，重点熟悉理解谈判文件符合性审查要求、无效报价条款和评审标准等内容。</w:t>
      </w:r>
    </w:p>
    <w:p>
      <w:pPr>
        <w:adjustRightInd w:val="0"/>
        <w:snapToGrid w:val="0"/>
        <w:spacing w:line="560" w:lineRule="exact"/>
        <w:ind w:firstLine="560" w:firstLineChars="200"/>
        <w:rPr>
          <w:rFonts w:ascii="仿宋_GB2312" w:hAnsi="仿宋"/>
          <w:bCs/>
          <w:szCs w:val="36"/>
        </w:rPr>
      </w:pPr>
      <w:r>
        <w:rPr>
          <w:rFonts w:hint="eastAsia" w:ascii="宋体" w:hAnsi="宋体"/>
          <w:bCs/>
          <w:sz w:val="28"/>
          <w:szCs w:val="28"/>
        </w:rPr>
        <w:t>2</w:t>
      </w:r>
      <w:r>
        <w:rPr>
          <w:rFonts w:ascii="宋体" w:hAnsi="宋体"/>
          <w:bCs/>
          <w:sz w:val="28"/>
          <w:szCs w:val="28"/>
        </w:rPr>
        <w:t>7.2评审委员会成员对</w:t>
      </w:r>
      <w:r>
        <w:rPr>
          <w:rFonts w:hint="eastAsia" w:ascii="宋体" w:hAnsi="宋体"/>
          <w:bCs/>
          <w:sz w:val="28"/>
          <w:szCs w:val="28"/>
        </w:rPr>
        <w:t>谈判文件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谈判文件中涉及技术参数、技术方案等问题的，应当提请采购单位书面澄清。书面解释或澄清不得改变谈判文件原义或影响客观公正评审。书面解释或澄清仍不能解决谈判文件存在的歧义或重大缺陷，导致评审工作无法进行的，应当终止评审工作，在评审报告中书面说明情况，并提出谈判文件修改意见。采购机构应当予以记录。</w:t>
      </w:r>
      <w:bookmarkEnd w:id="199"/>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28.</w:t>
      </w:r>
      <w:bookmarkStart w:id="200" w:name="_Hlk112682054"/>
      <w:r>
        <w:rPr>
          <w:rFonts w:ascii="黑体" w:hAnsi="黑体"/>
          <w:b w:val="0"/>
          <w:sz w:val="28"/>
          <w:szCs w:val="28"/>
        </w:rPr>
        <w:t>符合性</w:t>
      </w:r>
      <w:bookmarkEnd w:id="200"/>
      <w:r>
        <w:rPr>
          <w:rFonts w:ascii="黑体" w:hAnsi="黑体"/>
          <w:b w:val="0"/>
          <w:sz w:val="28"/>
          <w:szCs w:val="28"/>
        </w:rPr>
        <w:t>审查</w:t>
      </w:r>
      <w:bookmarkEnd w:id="193"/>
      <w:bookmarkEnd w:id="194"/>
      <w:bookmarkEnd w:id="195"/>
      <w:bookmarkEnd w:id="196"/>
      <w:bookmarkEnd w:id="197"/>
      <w:bookmarkEnd w:id="198"/>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1）谈判文件中用“★”号标明的条款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rPr>
        <w:t>28.2</w:t>
      </w:r>
      <w:r>
        <w:rPr>
          <w:rFonts w:hint="eastAsia" w:ascii="宋体" w:hAnsi="宋体"/>
          <w:bCs/>
          <w:sz w:val="28"/>
          <w:szCs w:val="28"/>
        </w:rPr>
        <w:t>采购机构资格性审查结束后，评审委员会应当依据谈判文件规定的符合性审查标准，对资格性审查合格的报价供应商的报价文件进行符合性审查，确定其是否满足谈判文件的实质性要求。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1）不得以谈判文件未明确的内容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报价文件按无效报价处理的，评审委员会应当拒绝其参与后续谈判、评审。评审委员会组长当场向未通过符合性审查的报价供应商告知审查结果和未通过原因，报价供应商签字确认。报价供应商有疑义的，评审委员会应当当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bookmarkStart w:id="201" w:name="_Toc20102"/>
      <w:bookmarkStart w:id="202" w:name="_Toc29848"/>
      <w:bookmarkStart w:id="203" w:name="_Toc21936"/>
      <w:bookmarkStart w:id="204" w:name="_Toc5778"/>
      <w:bookmarkStart w:id="205" w:name="_Toc112768411"/>
      <w:bookmarkStart w:id="206" w:name="_Toc16901"/>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29.</w:t>
      </w:r>
      <w:bookmarkStart w:id="207" w:name="_Hlk112684026"/>
      <w:r>
        <w:rPr>
          <w:rFonts w:ascii="黑体" w:hAnsi="黑体"/>
          <w:b w:val="0"/>
          <w:sz w:val="28"/>
          <w:szCs w:val="28"/>
        </w:rPr>
        <w:t>谈判</w:t>
      </w:r>
      <w:bookmarkEnd w:id="201"/>
      <w:bookmarkEnd w:id="202"/>
      <w:bookmarkEnd w:id="203"/>
      <w:bookmarkEnd w:id="204"/>
      <w:bookmarkEnd w:id="205"/>
      <w:bookmarkEnd w:id="206"/>
      <w:bookmarkEnd w:id="207"/>
      <w:r>
        <w:rPr>
          <w:rFonts w:ascii="黑体" w:hAnsi="黑体"/>
          <w:b w:val="0"/>
          <w:sz w:val="28"/>
          <w:szCs w:val="28"/>
        </w:rPr>
        <w:t>及报价</w:t>
      </w:r>
    </w:p>
    <w:p>
      <w:pPr>
        <w:adjustRightInd w:val="0"/>
        <w:snapToGrid w:val="0"/>
        <w:spacing w:line="560" w:lineRule="exact"/>
        <w:ind w:firstLine="560" w:firstLineChars="200"/>
        <w:jc w:val="left"/>
        <w:rPr>
          <w:rFonts w:ascii="宋体" w:hAnsi="宋体"/>
          <w:bCs/>
          <w:sz w:val="28"/>
          <w:szCs w:val="28"/>
        </w:rPr>
      </w:pPr>
      <w:r>
        <w:rPr>
          <w:rFonts w:ascii="宋体" w:hAnsi="宋体"/>
          <w:bCs/>
          <w:sz w:val="28"/>
          <w:szCs w:val="28"/>
        </w:rPr>
        <w:t>29.1谈判的一般规定：</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1）在谈判过程中，评审委员会所有成员集中与单一</w:t>
      </w:r>
      <w:r>
        <w:rPr>
          <w:rFonts w:hint="eastAsia" w:ascii="宋体" w:hAnsi="宋体" w:cs="宋体"/>
          <w:bCs/>
          <w:kern w:val="0"/>
          <w:sz w:val="28"/>
          <w:szCs w:val="28"/>
        </w:rPr>
        <w:t>报价</w:t>
      </w:r>
      <w:r>
        <w:rPr>
          <w:rFonts w:ascii="宋体" w:hAnsi="宋体" w:cs="宋体"/>
          <w:bCs/>
          <w:kern w:val="0"/>
          <w:sz w:val="28"/>
          <w:szCs w:val="28"/>
        </w:rPr>
        <w:t>供应商分别进行谈判，并给予所有参加谈判的</w:t>
      </w:r>
      <w:r>
        <w:rPr>
          <w:rFonts w:hint="eastAsia" w:ascii="宋体" w:hAnsi="宋体" w:cs="宋体"/>
          <w:bCs/>
          <w:kern w:val="0"/>
          <w:sz w:val="28"/>
          <w:szCs w:val="28"/>
        </w:rPr>
        <w:t>报价</w:t>
      </w:r>
      <w:r>
        <w:rPr>
          <w:rFonts w:ascii="宋体" w:hAnsi="宋体" w:cs="宋体"/>
          <w:bCs/>
          <w:kern w:val="0"/>
          <w:sz w:val="28"/>
          <w:szCs w:val="28"/>
        </w:rPr>
        <w:t>供应商平等的谈判机会。</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派</w:t>
      </w:r>
      <w:r>
        <w:rPr>
          <w:rFonts w:hint="eastAsia" w:ascii="宋体" w:hAnsi="宋体" w:cs="宋体"/>
          <w:bCs/>
          <w:snapToGrid w:val="0"/>
          <w:sz w:val="28"/>
          <w:szCs w:val="28"/>
          <w:lang w:val="zh-CN"/>
        </w:rPr>
        <w:t>法定代表人或授权代表及技术人员</w:t>
      </w:r>
      <w:r>
        <w:rPr>
          <w:rFonts w:hint="eastAsia" w:ascii="宋体" w:hAnsi="宋体" w:cs="宋体"/>
          <w:bCs/>
          <w:kern w:val="0"/>
          <w:sz w:val="28"/>
          <w:szCs w:val="28"/>
        </w:rPr>
        <w:t>参加谈判。</w:t>
      </w:r>
      <w:r>
        <w:rPr>
          <w:rFonts w:hint="eastAsia" w:ascii="宋体" w:hAnsi="宋体" w:cs="宋体"/>
          <w:kern w:val="0"/>
          <w:sz w:val="28"/>
          <w:szCs w:val="28"/>
        </w:rPr>
        <w:t>报价供应商每次出场顺序按照提交报价文件的倒序进行。</w:t>
      </w:r>
    </w:p>
    <w:p>
      <w:pPr>
        <w:adjustRightInd w:val="0"/>
        <w:snapToGrid w:val="0"/>
        <w:spacing w:line="560" w:lineRule="exact"/>
        <w:ind w:firstLine="560" w:firstLineChars="200"/>
        <w:jc w:val="left"/>
        <w:rPr>
          <w:rFonts w:ascii="宋体" w:hAnsi="宋体" w:cs="宋体"/>
          <w:bCs/>
          <w:kern w:val="0"/>
          <w:sz w:val="28"/>
          <w:szCs w:val="28"/>
        </w:rPr>
      </w:pPr>
      <w:bookmarkStart w:id="208" w:name="_Hlk128078346"/>
      <w:r>
        <w:rPr>
          <w:rFonts w:hint="eastAsia" w:ascii="宋体" w:hAnsi="宋体" w:cs="宋体"/>
          <w:bCs/>
          <w:kern w:val="0"/>
          <w:sz w:val="28"/>
          <w:szCs w:val="28"/>
        </w:rPr>
        <w:t>（2）通常采用2轮谈判、3次报价，确实需要增加或减少谈判、报价轮次的，应当在谈判文件中载明或经评审委员会认定，并在评审报告中注明理由。</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3）评审委员会可以根据谈判文件和谈判情况，实质性变动采购需求中的商务、技术要求，以及合同草案条款；实质性变动的内容，应当经采购单位和采购机构确认，并将变更的内容书面通知所有参加谈判的报价供应商；报价供应商可以根据谈判情况变更其报价文件的商务、技术响应内容，并将变更内容形成书面材料，作为报价文件的组成部分送评审委员会；报价供应商书面变更材料应当由其法定代表人或授权代表签字确认。</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4）谈判过程中，谈判任何一方不得透露与谈判有关的其他报价供应商的商务、技术、价格等信息；报价供应商应当在谈判室外独立填写报价单，并由其法定代表人或其授权代表签字确认，在规定时间内密封提交评审委员会。</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5</w:t>
      </w:r>
      <w:r>
        <w:rPr>
          <w:rFonts w:hint="eastAsia" w:ascii="宋体" w:hAnsi="宋体" w:cs="宋体"/>
          <w:bCs/>
          <w:kern w:val="0"/>
          <w:sz w:val="28"/>
          <w:szCs w:val="28"/>
        </w:rPr>
        <w:t>）报价供应商在提交最终报价之前，可以根据情况退出谈判；采购机构应当退还谈判保证金；提交最终报价的报价供应商一般不得少于3家；只有2家的，按照本章第</w:t>
      </w:r>
      <w:r>
        <w:rPr>
          <w:rFonts w:ascii="宋体" w:hAnsi="宋体" w:cs="宋体"/>
          <w:bCs/>
          <w:kern w:val="0"/>
          <w:sz w:val="28"/>
          <w:szCs w:val="28"/>
        </w:rPr>
        <w:t>41.1</w:t>
      </w:r>
      <w:r>
        <w:rPr>
          <w:rFonts w:hint="eastAsia" w:ascii="宋体" w:hAnsi="宋体" w:cs="宋体"/>
          <w:bCs/>
          <w:kern w:val="0"/>
          <w:sz w:val="28"/>
          <w:szCs w:val="28"/>
        </w:rPr>
        <w:t>条有关规定执行。最终报价是报价供应商报价文件的有效组成部分。</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6</w:t>
      </w:r>
      <w:r>
        <w:rPr>
          <w:rFonts w:hint="eastAsia" w:ascii="宋体" w:hAnsi="宋体" w:cs="宋体"/>
          <w:bCs/>
          <w:kern w:val="0"/>
          <w:sz w:val="28"/>
          <w:szCs w:val="28"/>
        </w:rPr>
        <w:t>）经过2轮谈判后，报价供应商响应内容仍然不能满足谈判文件要求，或谈判过程中发现报价供应商存在违法违规行为的，评审委员会应当将其淘汰，不允许参加最终报价，书面告知并说明理由。</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7）每轮谈判中，参加谈判的</w:t>
      </w:r>
      <w:r>
        <w:rPr>
          <w:rFonts w:hint="eastAsia" w:ascii="宋体" w:hAnsi="宋体" w:cs="宋体"/>
          <w:bCs/>
          <w:kern w:val="0"/>
          <w:sz w:val="28"/>
          <w:szCs w:val="28"/>
        </w:rPr>
        <w:t>报价</w:t>
      </w:r>
      <w:r>
        <w:rPr>
          <w:rFonts w:ascii="宋体" w:hAnsi="宋体" w:cs="宋体"/>
          <w:bCs/>
          <w:kern w:val="0"/>
          <w:sz w:val="28"/>
          <w:szCs w:val="28"/>
        </w:rPr>
        <w:t>供应商应</w:t>
      </w:r>
      <w:r>
        <w:rPr>
          <w:rFonts w:hint="eastAsia" w:ascii="宋体" w:hAnsi="宋体" w:cs="宋体"/>
          <w:bCs/>
          <w:kern w:val="0"/>
          <w:sz w:val="28"/>
          <w:szCs w:val="28"/>
        </w:rPr>
        <w:t>当</w:t>
      </w:r>
      <w:r>
        <w:rPr>
          <w:rFonts w:ascii="宋体" w:hAnsi="宋体" w:cs="宋体"/>
          <w:bCs/>
          <w:kern w:val="0"/>
          <w:sz w:val="28"/>
          <w:szCs w:val="28"/>
        </w:rPr>
        <w:t>认真、准确、完整地记录评审委员会提出的问题和要求。重新提交的报价文件应当对评审委员会书面通知提出的要求和条件</w:t>
      </w:r>
      <w:r>
        <w:rPr>
          <w:rFonts w:hint="eastAsia" w:ascii="宋体" w:hAnsi="宋体" w:cs="宋体"/>
          <w:bCs/>
          <w:kern w:val="0"/>
          <w:sz w:val="28"/>
          <w:szCs w:val="28"/>
        </w:rPr>
        <w:t>作出明确响应，并由法定代表人或授权代表签字确认。</w:t>
      </w:r>
      <w:bookmarkEnd w:id="208"/>
    </w:p>
    <w:p>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29.2</w:t>
      </w:r>
      <w:r>
        <w:rPr>
          <w:rFonts w:hint="eastAsia" w:ascii="宋体" w:hAnsi="宋体" w:cs="宋体"/>
          <w:bCs/>
          <w:snapToGrid w:val="0"/>
          <w:sz w:val="28"/>
          <w:szCs w:val="28"/>
        </w:rPr>
        <w:t>第一轮谈判。</w:t>
      </w:r>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1）</w:t>
      </w:r>
      <w:r>
        <w:rPr>
          <w:rFonts w:hint="eastAsia" w:ascii="宋体" w:hAnsi="宋体" w:cs="宋体"/>
          <w:bCs/>
          <w:snapToGrid w:val="0"/>
          <w:sz w:val="28"/>
          <w:szCs w:val="28"/>
        </w:rPr>
        <w:t>报价</w:t>
      </w:r>
      <w:r>
        <w:rPr>
          <w:rFonts w:ascii="宋体" w:hAnsi="宋体" w:cs="宋体"/>
          <w:bCs/>
          <w:snapToGrid w:val="0"/>
          <w:sz w:val="28"/>
          <w:szCs w:val="28"/>
        </w:rPr>
        <w:t>供应商介绍单位概况、技术方案、价格构成、服务承诺等事项，解答、澄清承诺评审委员会提出的质疑。</w:t>
      </w:r>
    </w:p>
    <w:p>
      <w:pPr>
        <w:spacing w:line="560" w:lineRule="exact"/>
        <w:ind w:firstLine="560" w:firstLineChars="200"/>
        <w:rPr>
          <w:rFonts w:ascii="宋体" w:hAnsi="宋体" w:cs="宋体"/>
          <w:bCs/>
          <w:snapToGrid w:val="0"/>
          <w:sz w:val="28"/>
          <w:szCs w:val="28"/>
        </w:rPr>
      </w:pPr>
      <w:bookmarkStart w:id="209" w:name="_Hlk128078379"/>
      <w:r>
        <w:rPr>
          <w:rFonts w:hint="eastAsia" w:ascii="宋体" w:hAnsi="宋体" w:cs="宋体"/>
          <w:bCs/>
          <w:snapToGrid w:val="0"/>
          <w:sz w:val="28"/>
          <w:szCs w:val="28"/>
        </w:rPr>
        <w:t>（</w:t>
      </w:r>
      <w:r>
        <w:rPr>
          <w:rFonts w:ascii="宋体" w:hAnsi="宋体" w:cs="宋体"/>
          <w:bCs/>
          <w:snapToGrid w:val="0"/>
          <w:sz w:val="28"/>
          <w:szCs w:val="28"/>
        </w:rPr>
        <w:t>2）评审委员会就</w:t>
      </w:r>
      <w:r>
        <w:rPr>
          <w:rFonts w:hint="eastAsia" w:ascii="宋体" w:hAnsi="宋体" w:cs="宋体"/>
          <w:bCs/>
          <w:snapToGrid w:val="0"/>
          <w:sz w:val="28"/>
          <w:szCs w:val="28"/>
        </w:rPr>
        <w:t>报价文件的商务与技术响应情况，与报价供应商进行谈判。</w:t>
      </w:r>
      <w:bookmarkEnd w:id="209"/>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3）</w:t>
      </w:r>
      <w:bookmarkStart w:id="210" w:name="_Hlk112684563"/>
      <w:r>
        <w:rPr>
          <w:rFonts w:hint="eastAsia" w:ascii="宋体" w:hAnsi="宋体" w:cs="宋体"/>
          <w:bCs/>
          <w:snapToGrid w:val="0"/>
          <w:sz w:val="28"/>
          <w:szCs w:val="28"/>
        </w:rPr>
        <w:t>评审委员会</w:t>
      </w:r>
      <w:bookmarkEnd w:id="210"/>
      <w:r>
        <w:rPr>
          <w:rFonts w:hint="eastAsia" w:ascii="宋体" w:hAnsi="宋体" w:cs="宋体"/>
          <w:bCs/>
          <w:snapToGrid w:val="0"/>
          <w:sz w:val="28"/>
          <w:szCs w:val="28"/>
        </w:rPr>
        <w:t>可以根据谈判文件和谈判情况，实质性变动采购需求中的商务、技术要求，以及合同草案条款，并将变更的内容书面通知所有参加谈判的报价供应商。</w:t>
      </w:r>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w:t>
      </w:r>
      <w:r>
        <w:rPr>
          <w:rFonts w:ascii="宋体" w:hAnsi="宋体" w:cs="宋体"/>
          <w:bCs/>
          <w:snapToGrid w:val="0"/>
          <w:sz w:val="28"/>
          <w:szCs w:val="28"/>
        </w:rPr>
        <w:t>4）</w:t>
      </w:r>
      <w:r>
        <w:rPr>
          <w:rFonts w:hint="eastAsia" w:ascii="宋体" w:hAnsi="宋体" w:cs="宋体"/>
          <w:bCs/>
          <w:snapToGrid w:val="0"/>
          <w:sz w:val="28"/>
          <w:szCs w:val="28"/>
        </w:rPr>
        <w:t>报价供应商应当按照谈判文件的变动情况和评审委员会的要求提交第二次报价文件</w:t>
      </w:r>
      <w:r>
        <w:rPr>
          <w:rFonts w:ascii="宋体" w:hAnsi="宋体" w:cs="宋体"/>
          <w:bCs/>
          <w:snapToGrid w:val="0"/>
          <w:sz w:val="28"/>
          <w:szCs w:val="28"/>
        </w:rPr>
        <w:t>（</w:t>
      </w:r>
      <w:r>
        <w:rPr>
          <w:rFonts w:hint="eastAsia" w:ascii="宋体" w:hAnsi="宋体" w:cs="宋体"/>
          <w:bCs/>
          <w:snapToGrid w:val="0"/>
          <w:sz w:val="28"/>
          <w:szCs w:val="28"/>
        </w:rPr>
        <w:t>报价</w:t>
      </w:r>
      <w:r>
        <w:rPr>
          <w:rFonts w:ascii="宋体" w:hAnsi="宋体" w:cs="宋体"/>
          <w:bCs/>
          <w:snapToGrid w:val="0"/>
          <w:sz w:val="28"/>
          <w:szCs w:val="28"/>
        </w:rPr>
        <w:t>供应</w:t>
      </w:r>
      <w:r>
        <w:rPr>
          <w:rFonts w:hint="eastAsia" w:ascii="宋体" w:hAnsi="宋体" w:cs="宋体"/>
          <w:bCs/>
          <w:snapToGrid w:val="0"/>
          <w:sz w:val="28"/>
          <w:szCs w:val="28"/>
        </w:rPr>
        <w:t>商首次提交的报价文件中的报价为第一次报价）。</w:t>
      </w:r>
    </w:p>
    <w:p>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29.3</w:t>
      </w:r>
      <w:r>
        <w:rPr>
          <w:rFonts w:hint="eastAsia" w:ascii="宋体" w:hAnsi="宋体" w:cs="宋体"/>
          <w:bCs/>
          <w:snapToGrid w:val="0"/>
          <w:sz w:val="28"/>
          <w:szCs w:val="28"/>
        </w:rPr>
        <w:t>第二轮谈判。评审委员会根据第一轮谈判情况、第二次报价和澄清承诺，集中与单一报价供应商进行第二轮谈判。</w:t>
      </w:r>
    </w:p>
    <w:p>
      <w:pPr>
        <w:spacing w:line="560" w:lineRule="exact"/>
        <w:ind w:firstLine="560" w:firstLineChars="200"/>
        <w:rPr>
          <w:rFonts w:ascii="宋体" w:hAnsi="宋体" w:cs="宋体"/>
          <w:bCs/>
          <w:snapToGrid w:val="0"/>
          <w:sz w:val="28"/>
          <w:szCs w:val="28"/>
        </w:rPr>
      </w:pPr>
      <w:r>
        <w:rPr>
          <w:rFonts w:ascii="宋体" w:hAnsi="宋体" w:cs="宋体"/>
          <w:bCs/>
          <w:snapToGrid w:val="0"/>
          <w:sz w:val="28"/>
          <w:szCs w:val="28"/>
        </w:rPr>
        <w:t>29.4</w:t>
      </w:r>
      <w:r>
        <w:rPr>
          <w:rFonts w:hint="eastAsia" w:ascii="宋体" w:hAnsi="宋体" w:cs="宋体"/>
          <w:bCs/>
          <w:snapToGrid w:val="0"/>
          <w:sz w:val="28"/>
          <w:szCs w:val="28"/>
        </w:rPr>
        <w:t>本项目需要增加或减少谈判、报价轮次的，在专用文件中载明或经</w:t>
      </w:r>
      <w:bookmarkStart w:id="211" w:name="_Hlk112688669"/>
      <w:r>
        <w:rPr>
          <w:rFonts w:hint="eastAsia" w:ascii="宋体" w:hAnsi="宋体" w:cs="宋体"/>
          <w:bCs/>
          <w:snapToGrid w:val="0"/>
          <w:sz w:val="28"/>
          <w:szCs w:val="28"/>
        </w:rPr>
        <w:t>评审委员会</w:t>
      </w:r>
      <w:bookmarkEnd w:id="211"/>
      <w:r>
        <w:rPr>
          <w:rFonts w:hint="eastAsia" w:ascii="宋体" w:hAnsi="宋体" w:cs="宋体"/>
          <w:bCs/>
          <w:snapToGrid w:val="0"/>
          <w:sz w:val="28"/>
          <w:szCs w:val="28"/>
        </w:rPr>
        <w:t>认定，并在评审报告中注明理由。</w:t>
      </w:r>
    </w:p>
    <w:p>
      <w:pPr>
        <w:spacing w:line="560" w:lineRule="exact"/>
        <w:ind w:firstLine="560" w:firstLineChars="200"/>
        <w:rPr>
          <w:rFonts w:ascii="宋体" w:hAnsi="宋体" w:cs="宋体"/>
          <w:bCs/>
          <w:snapToGrid w:val="0"/>
          <w:sz w:val="28"/>
          <w:szCs w:val="28"/>
        </w:rPr>
      </w:pPr>
      <w:bookmarkStart w:id="212" w:name="_Toc20388"/>
      <w:bookmarkStart w:id="213" w:name="_Toc22971"/>
      <w:bookmarkStart w:id="214" w:name="_Toc5787"/>
      <w:bookmarkStart w:id="215" w:name="_Toc112768412"/>
      <w:bookmarkStart w:id="216" w:name="_Toc29621"/>
      <w:bookmarkStart w:id="217" w:name="_Toc6943"/>
      <w:r>
        <w:rPr>
          <w:rFonts w:ascii="宋体" w:hAnsi="宋体" w:cs="宋体"/>
          <w:bCs/>
          <w:snapToGrid w:val="0"/>
          <w:sz w:val="28"/>
          <w:szCs w:val="28"/>
        </w:rPr>
        <w:t xml:space="preserve">29.5 </w:t>
      </w:r>
      <w:r>
        <w:rPr>
          <w:rFonts w:hint="eastAsia" w:ascii="宋体" w:hAnsi="宋体" w:cs="宋体"/>
          <w:bCs/>
          <w:snapToGrid w:val="0"/>
          <w:sz w:val="28"/>
          <w:szCs w:val="28"/>
        </w:rPr>
        <w:t>最</w:t>
      </w:r>
      <w:bookmarkStart w:id="218" w:name="_Hlk112688760"/>
      <w:r>
        <w:rPr>
          <w:rFonts w:hint="eastAsia" w:ascii="宋体" w:hAnsi="宋体" w:cs="宋体"/>
          <w:bCs/>
          <w:snapToGrid w:val="0"/>
          <w:sz w:val="28"/>
          <w:szCs w:val="28"/>
        </w:rPr>
        <w:t>终</w:t>
      </w:r>
      <w:bookmarkEnd w:id="218"/>
      <w:r>
        <w:rPr>
          <w:rFonts w:hint="eastAsia" w:ascii="宋体" w:hAnsi="宋体" w:cs="宋体"/>
          <w:bCs/>
          <w:snapToGrid w:val="0"/>
          <w:sz w:val="28"/>
          <w:szCs w:val="28"/>
        </w:rPr>
        <w:t>报价</w:t>
      </w:r>
      <w:bookmarkEnd w:id="212"/>
      <w:bookmarkEnd w:id="213"/>
      <w:bookmarkEnd w:id="214"/>
      <w:bookmarkEnd w:id="215"/>
      <w:bookmarkEnd w:id="216"/>
      <w:bookmarkEnd w:id="217"/>
      <w:r>
        <w:rPr>
          <w:rFonts w:hint="eastAsia" w:ascii="宋体" w:hAnsi="宋体" w:cs="宋体"/>
          <w:bCs/>
          <w:snapToGrid w:val="0"/>
          <w:sz w:val="28"/>
          <w:szCs w:val="28"/>
        </w:rPr>
        <w:t>。</w:t>
      </w:r>
    </w:p>
    <w:p>
      <w:pPr>
        <w:spacing w:line="560" w:lineRule="exact"/>
        <w:ind w:firstLine="560" w:firstLineChars="200"/>
        <w:rPr>
          <w:rFonts w:ascii="宋体" w:hAnsi="宋体" w:cs="宋体"/>
          <w:bCs/>
          <w:snapToGrid w:val="0"/>
          <w:sz w:val="28"/>
          <w:szCs w:val="28"/>
        </w:rPr>
      </w:pPr>
      <w:r>
        <w:rPr>
          <w:rFonts w:hint="eastAsia" w:ascii="宋体" w:hAnsi="宋体" w:cs="宋体"/>
          <w:bCs/>
          <w:snapToGrid w:val="0"/>
          <w:sz w:val="28"/>
          <w:szCs w:val="28"/>
        </w:rPr>
        <w:t>谈判结束后，评审委员会应当要求符合谈判文件规定的实质性要求的报价供应商在规定时间内提交最终报价。最终报价由法定代表人或授权代表签字确认。</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1）谈判文件能够详细列明采购需求的技术、服务要求的，谈判结束后，评审委员会应当要求所有</w:t>
      </w:r>
      <w:r>
        <w:rPr>
          <w:rFonts w:hint="eastAsia" w:ascii="宋体" w:hAnsi="宋体" w:cs="宋体"/>
          <w:bCs/>
          <w:kern w:val="0"/>
          <w:sz w:val="28"/>
          <w:szCs w:val="28"/>
        </w:rPr>
        <w:t>报价</w:t>
      </w:r>
      <w:r>
        <w:rPr>
          <w:rFonts w:ascii="宋体" w:hAnsi="宋体" w:cs="宋体"/>
          <w:bCs/>
          <w:kern w:val="0"/>
          <w:sz w:val="28"/>
          <w:szCs w:val="28"/>
        </w:rPr>
        <w:t>供应商在规定时间内提交最终报价。</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2）谈判文件不能详细列明采购需求的技术、服务要求，需经谈判由</w:t>
      </w:r>
      <w:r>
        <w:rPr>
          <w:rFonts w:hint="eastAsia" w:ascii="宋体" w:hAnsi="宋体" w:cs="宋体"/>
          <w:bCs/>
          <w:kern w:val="0"/>
          <w:sz w:val="28"/>
          <w:szCs w:val="28"/>
        </w:rPr>
        <w:t>报价</w:t>
      </w:r>
      <w:r>
        <w:rPr>
          <w:rFonts w:ascii="宋体" w:hAnsi="宋体" w:cs="宋体"/>
          <w:bCs/>
          <w:kern w:val="0"/>
          <w:sz w:val="28"/>
          <w:szCs w:val="28"/>
        </w:rPr>
        <w:t>供应商提供最终设计方案或解决方案的，谈判结束后，评审委员会应当按照少数服从多数的原则投票推荐3家以上</w:t>
      </w:r>
      <w:r>
        <w:rPr>
          <w:rFonts w:hint="eastAsia" w:ascii="宋体" w:hAnsi="宋体" w:cs="宋体"/>
          <w:bCs/>
          <w:kern w:val="0"/>
          <w:sz w:val="28"/>
          <w:szCs w:val="28"/>
        </w:rPr>
        <w:t>报价</w:t>
      </w:r>
      <w:r>
        <w:rPr>
          <w:rFonts w:ascii="宋体" w:hAnsi="宋体" w:cs="宋体"/>
          <w:bCs/>
          <w:kern w:val="0"/>
          <w:sz w:val="28"/>
          <w:szCs w:val="28"/>
        </w:rPr>
        <w:t>供应商的设计方案或解决方案，并要求其在规定时间内提交最终报价。</w:t>
      </w:r>
    </w:p>
    <w:p>
      <w:pPr>
        <w:adjustRightInd w:val="0"/>
        <w:snapToGrid w:val="0"/>
        <w:spacing w:line="560" w:lineRule="exact"/>
        <w:ind w:firstLine="560" w:firstLineChars="200"/>
        <w:jc w:val="left"/>
        <w:rPr>
          <w:rFonts w:ascii="宋体" w:hAnsi="宋体" w:cs="宋体"/>
          <w:bCs/>
          <w:kern w:val="0"/>
          <w:sz w:val="28"/>
          <w:szCs w:val="28"/>
        </w:rPr>
      </w:pPr>
      <w:r>
        <w:rPr>
          <w:rFonts w:hint="eastAsia" w:ascii="宋体" w:hAnsi="宋体" w:cs="宋体"/>
          <w:bCs/>
          <w:kern w:val="0"/>
          <w:sz w:val="28"/>
          <w:szCs w:val="28"/>
        </w:rPr>
        <w:t>（</w:t>
      </w:r>
      <w:r>
        <w:rPr>
          <w:rFonts w:ascii="宋体" w:hAnsi="宋体" w:cs="宋体"/>
          <w:bCs/>
          <w:kern w:val="0"/>
          <w:sz w:val="28"/>
          <w:szCs w:val="28"/>
        </w:rPr>
        <w:t>3）</w:t>
      </w:r>
      <w:r>
        <w:rPr>
          <w:rFonts w:hint="eastAsia" w:ascii="宋体" w:hAnsi="宋体" w:cs="宋体"/>
          <w:bCs/>
          <w:kern w:val="0"/>
          <w:sz w:val="28"/>
          <w:szCs w:val="28"/>
        </w:rPr>
        <w:t>最终报价是报价供应商报价文件的有效组成部分。符合本章第</w:t>
      </w:r>
      <w:r>
        <w:rPr>
          <w:rFonts w:ascii="宋体" w:hAnsi="宋体" w:cs="宋体"/>
          <w:bCs/>
          <w:kern w:val="0"/>
          <w:sz w:val="28"/>
          <w:szCs w:val="28"/>
        </w:rPr>
        <w:t>41.1</w:t>
      </w:r>
      <w:r>
        <w:rPr>
          <w:rFonts w:hint="eastAsia" w:ascii="宋体" w:hAnsi="宋体" w:cs="宋体"/>
          <w:bCs/>
          <w:kern w:val="0"/>
          <w:sz w:val="28"/>
          <w:szCs w:val="28"/>
        </w:rPr>
        <w:t>条特殊情形规定的，提交最终报价的报价供应商可以为</w:t>
      </w:r>
      <w:r>
        <w:rPr>
          <w:rFonts w:ascii="宋体" w:hAnsi="宋体" w:cs="宋体"/>
          <w:bCs/>
          <w:kern w:val="0"/>
          <w:sz w:val="28"/>
          <w:szCs w:val="28"/>
        </w:rPr>
        <w:t>2家。</w:t>
      </w:r>
    </w:p>
    <w:p>
      <w:pPr>
        <w:pStyle w:val="6"/>
        <w:adjustRightInd w:val="0"/>
        <w:snapToGrid w:val="0"/>
        <w:spacing w:line="560" w:lineRule="exact"/>
        <w:ind w:firstLine="560" w:firstLineChars="200"/>
        <w:rPr>
          <w:rFonts w:hint="default" w:ascii="黑体" w:hAnsi="黑体"/>
          <w:b w:val="0"/>
          <w:sz w:val="28"/>
          <w:szCs w:val="28"/>
        </w:rPr>
      </w:pPr>
      <w:bookmarkStart w:id="219" w:name="_Toc9368"/>
      <w:bookmarkStart w:id="220" w:name="_Toc14429"/>
      <w:bookmarkStart w:id="221" w:name="_Toc19389"/>
      <w:bookmarkStart w:id="222" w:name="_Toc112768414"/>
      <w:bookmarkStart w:id="223" w:name="_Toc23915"/>
      <w:bookmarkStart w:id="224" w:name="_Toc19887"/>
      <w:r>
        <w:rPr>
          <w:rFonts w:ascii="黑体" w:hAnsi="黑体"/>
          <w:b w:val="0"/>
          <w:sz w:val="28"/>
          <w:szCs w:val="28"/>
        </w:rPr>
        <w:t>30.商务、技术评审</w:t>
      </w:r>
    </w:p>
    <w:p>
      <w:pPr>
        <w:spacing w:line="560" w:lineRule="exact"/>
        <w:ind w:firstLine="560" w:firstLineChars="200"/>
        <w:rPr>
          <w:sz w:val="28"/>
          <w:szCs w:val="28"/>
        </w:rPr>
      </w:pPr>
      <w:r>
        <w:rPr>
          <w:rFonts w:hint="eastAsia"/>
          <w:sz w:val="28"/>
          <w:szCs w:val="28"/>
        </w:rPr>
        <w:t>评审委员会按照谈判文件中明确的评审方法和标准，对资格性和符合性审查合格</w:t>
      </w:r>
      <w:r>
        <w:rPr>
          <w:rFonts w:hint="eastAsia" w:ascii="宋体" w:hAnsi="宋体"/>
          <w:sz w:val="28"/>
          <w:szCs w:val="28"/>
        </w:rPr>
        <w:t>且提交最终报价的供应商</w:t>
      </w:r>
      <w:r>
        <w:rPr>
          <w:rFonts w:hint="eastAsia"/>
          <w:sz w:val="28"/>
          <w:szCs w:val="28"/>
        </w:rPr>
        <w:t>进行商务和技术评审。</w:t>
      </w:r>
    </w:p>
    <w:p>
      <w:pPr>
        <w:spacing w:line="560" w:lineRule="exact"/>
        <w:ind w:firstLine="560" w:firstLineChars="200"/>
        <w:rPr>
          <w:rFonts w:ascii="宋体" w:hAnsi="宋体"/>
          <w:bCs/>
          <w:sz w:val="28"/>
          <w:szCs w:val="28"/>
        </w:rPr>
      </w:pPr>
      <w:r>
        <w:rPr>
          <w:rFonts w:hint="eastAsia"/>
          <w:sz w:val="28"/>
          <w:szCs w:val="28"/>
        </w:rPr>
        <w:t>评审委员会应当按照谈判文件要求，依据最终报价文件（不含价格部分）对报价供应商填写的内容进行审核确认。其中，商务评委按照商务评审标准作商务评审，技术评委按照技术评审标准进行技术评审。评审委员会成员应当填写评审工作底稿，详细记录评分情况，以及形成过程、计算依据和报价供应商排序情况，并签字确认。</w:t>
      </w:r>
      <w:r>
        <w:rPr>
          <w:rFonts w:hint="eastAsia"/>
          <w:b/>
          <w:bCs/>
          <w:sz w:val="28"/>
          <w:szCs w:val="28"/>
        </w:rPr>
        <w:t>评审委员会成员不得集体商议、沟通、协调，商务、技术评审方面存有歧义的除外。</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30.1</w:t>
      </w:r>
      <w:r>
        <w:rPr>
          <w:rFonts w:hint="eastAsia" w:ascii="宋体" w:hAnsi="宋体"/>
          <w:bCs/>
          <w:sz w:val="28"/>
          <w:szCs w:val="28"/>
        </w:rPr>
        <w:t>采用综合评分法时：</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商务、技术评分项响应评审。评审委员会按</w:t>
      </w:r>
      <w:r>
        <w:rPr>
          <w:rFonts w:hint="eastAsia"/>
          <w:sz w:val="28"/>
          <w:szCs w:val="28"/>
        </w:rPr>
        <w:t>谈判</w:t>
      </w:r>
      <w:r>
        <w:rPr>
          <w:rFonts w:hint="eastAsia" w:asciiTheme="minorEastAsia" w:hAnsiTheme="minorEastAsia" w:eastAsiaTheme="minorEastAsia"/>
          <w:bCs/>
          <w:sz w:val="28"/>
          <w:szCs w:val="28"/>
        </w:rPr>
        <w:t>文件规定的评审标准，对商务、技术评分项计算得分。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评审委员会成员对同一</w:t>
      </w:r>
      <w:r>
        <w:rPr>
          <w:rFonts w:hint="eastAsia"/>
          <w:sz w:val="28"/>
          <w:szCs w:val="28"/>
        </w:rPr>
        <w:t>报价</w:t>
      </w:r>
      <w:r>
        <w:rPr>
          <w:rFonts w:hint="eastAsia" w:asciiTheme="minorEastAsia" w:hAnsiTheme="minorEastAsia" w:eastAsiaTheme="minorEastAsia"/>
          <w:bCs/>
          <w:sz w:val="28"/>
          <w:szCs w:val="28"/>
        </w:rPr>
        <w:t>供应商的商务或技术的评分，偏离评审委员会全体成员的评分均值</w:t>
      </w:r>
      <w:r>
        <w:rPr>
          <w:rFonts w:asciiTheme="minorEastAsia" w:hAnsiTheme="minorEastAsia" w:eastAsiaTheme="minorEastAsia"/>
          <w:bCs/>
          <w:sz w:val="28"/>
          <w:szCs w:val="28"/>
        </w:rPr>
        <w:t>20%以上的，以其他评委的评分均值作为该成员的评分；评审委员会</w:t>
      </w:r>
      <w:r>
        <w:rPr>
          <w:rFonts w:hint="eastAsia" w:asciiTheme="minorEastAsia" w:hAnsiTheme="minorEastAsia" w:eastAsiaTheme="minorEastAsia"/>
          <w:bCs/>
          <w:sz w:val="28"/>
          <w:szCs w:val="28"/>
        </w:rPr>
        <w:t>所有</w:t>
      </w:r>
      <w:r>
        <w:rPr>
          <w:rFonts w:asciiTheme="minorEastAsia" w:hAnsiTheme="minorEastAsia" w:eastAsiaTheme="minorEastAsia"/>
          <w:bCs/>
          <w:sz w:val="28"/>
          <w:szCs w:val="28"/>
        </w:rPr>
        <w:t>成员的评分</w:t>
      </w:r>
      <w:r>
        <w:rPr>
          <w:rFonts w:hint="eastAsia" w:asciiTheme="minorEastAsia" w:hAnsiTheme="minorEastAsia" w:eastAsiaTheme="minorEastAsia"/>
          <w:bCs/>
          <w:sz w:val="28"/>
          <w:szCs w:val="28"/>
        </w:rPr>
        <w:t>均</w:t>
      </w:r>
      <w:r>
        <w:rPr>
          <w:rFonts w:asciiTheme="minorEastAsia" w:hAnsiTheme="minorEastAsia" w:eastAsiaTheme="minorEastAsia"/>
          <w:bCs/>
          <w:sz w:val="28"/>
          <w:szCs w:val="28"/>
        </w:rPr>
        <w:t>偏离20%以上的，以全体成员的评分均值</w:t>
      </w:r>
      <w:r>
        <w:rPr>
          <w:rFonts w:hint="eastAsia" w:asciiTheme="minorEastAsia" w:hAnsiTheme="minorEastAsia" w:eastAsiaTheme="minorEastAsia"/>
          <w:bCs/>
          <w:sz w:val="28"/>
          <w:szCs w:val="28"/>
        </w:rPr>
        <w:t>计算</w:t>
      </w:r>
      <w:r>
        <w:rPr>
          <w:rFonts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30</w:t>
      </w:r>
      <w:r>
        <w:rPr>
          <w:rFonts w:hint="eastAsia" w:asciiTheme="minorEastAsia" w:hAnsiTheme="minorEastAsia" w:eastAsiaTheme="minorEastAsia"/>
          <w:bCs/>
          <w:sz w:val="28"/>
          <w:szCs w:val="28"/>
        </w:rPr>
        <w:t>.2采用经评审的最低价法评审时：</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评审委员会按谈判文件规定的评审标准，对商务、技术指标是否实质性响应进行判定；必要时，对技术指标优劣进行排序。</w:t>
      </w:r>
    </w:p>
    <w:p>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bCs/>
          <w:sz w:val="28"/>
          <w:szCs w:val="28"/>
        </w:rPr>
        <w:t>※</w:t>
      </w:r>
      <w:r>
        <w:rPr>
          <w:rFonts w:ascii="宋体" w:hAnsi="宋体" w:cs="宋体"/>
          <w:bCs/>
          <w:snapToGrid w:val="0"/>
          <w:sz w:val="28"/>
          <w:szCs w:val="28"/>
          <w:lang w:val="zh-CN"/>
        </w:rPr>
        <w:t>30.</w:t>
      </w:r>
      <w:r>
        <w:rPr>
          <w:rFonts w:ascii="宋体" w:hAnsi="宋体" w:cs="宋体"/>
          <w:bCs/>
          <w:snapToGrid w:val="0"/>
          <w:sz w:val="28"/>
          <w:szCs w:val="28"/>
        </w:rPr>
        <w:t>3</w:t>
      </w:r>
      <w:r>
        <w:rPr>
          <w:rFonts w:ascii="宋体" w:hAnsi="宋体" w:cs="宋体"/>
          <w:bCs/>
          <w:snapToGrid w:val="0"/>
          <w:sz w:val="28"/>
          <w:szCs w:val="28"/>
          <w:lang w:val="zh-CN"/>
        </w:rPr>
        <w:t>样品评审。</w:t>
      </w:r>
      <w:r>
        <w:rPr>
          <w:rFonts w:hint="eastAsia" w:asciiTheme="minorEastAsia" w:hAnsiTheme="minorEastAsia" w:eastAsiaTheme="minorEastAsia"/>
          <w:bCs/>
          <w:sz w:val="28"/>
          <w:szCs w:val="28"/>
        </w:rPr>
        <w:t>除【报价供应商须知前附表】另有规定外，</w:t>
      </w:r>
      <w:r>
        <w:rPr>
          <w:rFonts w:hint="eastAsia" w:ascii="宋体" w:hAnsi="宋体" w:cs="宋体"/>
          <w:bCs/>
          <w:snapToGrid w:val="0"/>
          <w:sz w:val="28"/>
          <w:szCs w:val="28"/>
          <w:lang w:val="zh-CN"/>
        </w:rPr>
        <w:t>样品评审采用盲评。</w:t>
      </w:r>
      <w:r>
        <w:rPr>
          <w:rFonts w:hint="eastAsia"/>
          <w:sz w:val="28"/>
          <w:szCs w:val="28"/>
        </w:rPr>
        <w:t>报价</w:t>
      </w:r>
      <w:r>
        <w:rPr>
          <w:rFonts w:hint="eastAsia" w:ascii="宋体" w:hAnsi="宋体" w:cs="宋体"/>
          <w:bCs/>
          <w:snapToGrid w:val="0"/>
          <w:sz w:val="28"/>
          <w:szCs w:val="28"/>
          <w:lang w:val="zh-CN"/>
        </w:rPr>
        <w:t>供应商应当对提供样品的明显标识、铭牌和标签等进行遮挡，采购机构在样品评审前统一编号，评审委员会依据样品评审标准进行盲评。</w:t>
      </w:r>
    </w:p>
    <w:p>
      <w:pPr>
        <w:adjustRightInd w:val="0"/>
        <w:snapToGrid w:val="0"/>
        <w:spacing w:line="560" w:lineRule="exact"/>
        <w:ind w:firstLine="560" w:firstLineChars="200"/>
        <w:rPr>
          <w:rFonts w:ascii="宋体" w:hAnsi="宋体" w:cs="宋体"/>
          <w:bCs/>
          <w:snapToGrid w:val="0"/>
          <w:sz w:val="28"/>
          <w:szCs w:val="28"/>
          <w:lang w:val="zh-CN"/>
        </w:rPr>
      </w:pPr>
      <w:r>
        <w:rPr>
          <w:rFonts w:ascii="宋体" w:hAnsi="宋体" w:cs="宋体"/>
          <w:bCs/>
          <w:snapToGrid w:val="0"/>
          <w:sz w:val="28"/>
          <w:szCs w:val="28"/>
          <w:lang w:val="zh-CN"/>
        </w:rPr>
        <w:t>30.</w:t>
      </w:r>
      <w:r>
        <w:rPr>
          <w:rFonts w:ascii="宋体" w:hAnsi="宋体" w:cs="宋体"/>
          <w:bCs/>
          <w:snapToGrid w:val="0"/>
          <w:sz w:val="28"/>
          <w:szCs w:val="28"/>
        </w:rPr>
        <w:t>4</w:t>
      </w:r>
      <w:r>
        <w:rPr>
          <w:rFonts w:ascii="宋体" w:hAnsi="宋体" w:cs="宋体"/>
          <w:bCs/>
          <w:snapToGrid w:val="0"/>
          <w:sz w:val="28"/>
          <w:szCs w:val="28"/>
          <w:lang w:val="zh-CN"/>
        </w:rPr>
        <w:t>相同品牌或核心产品评审。</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1）单个品种物资采购项目</w:t>
      </w:r>
      <w:r>
        <w:rPr>
          <w:rFonts w:hint="eastAsia" w:ascii="宋体" w:hAnsi="宋体"/>
          <w:bCs/>
          <w:sz w:val="28"/>
          <w:szCs w:val="36"/>
        </w:rPr>
        <w:t>，</w:t>
      </w:r>
      <w:r>
        <w:rPr>
          <w:rFonts w:ascii="宋体" w:hAnsi="宋体"/>
          <w:bCs/>
          <w:sz w:val="28"/>
          <w:szCs w:val="36"/>
        </w:rPr>
        <w:t>不同</w:t>
      </w:r>
      <w:r>
        <w:rPr>
          <w:rFonts w:hint="eastAsia"/>
          <w:sz w:val="28"/>
          <w:szCs w:val="28"/>
        </w:rPr>
        <w:t>报价</w:t>
      </w:r>
      <w:r>
        <w:rPr>
          <w:rFonts w:hint="eastAsia" w:ascii="仿宋_GB2312" w:hAnsi="仿宋"/>
          <w:bCs/>
          <w:sz w:val="28"/>
          <w:szCs w:val="36"/>
        </w:rPr>
        <w:t>供应商</w:t>
      </w:r>
      <w:r>
        <w:rPr>
          <w:rFonts w:ascii="宋体" w:hAnsi="宋体"/>
          <w:bCs/>
          <w:sz w:val="28"/>
          <w:szCs w:val="36"/>
        </w:rPr>
        <w:t>提供相同品牌产品的</w:t>
      </w:r>
      <w:r>
        <w:rPr>
          <w:rFonts w:hint="eastAsia" w:ascii="宋体" w:hAnsi="宋体"/>
          <w:bCs/>
          <w:sz w:val="28"/>
          <w:szCs w:val="36"/>
        </w:rPr>
        <w:t>，</w:t>
      </w:r>
      <w:r>
        <w:rPr>
          <w:rFonts w:hint="eastAsia"/>
          <w:sz w:val="28"/>
          <w:szCs w:val="28"/>
        </w:rPr>
        <w:t>报价</w:t>
      </w:r>
      <w:r>
        <w:rPr>
          <w:rFonts w:hint="eastAsia" w:ascii="宋体" w:hAnsi="宋体"/>
          <w:bCs/>
          <w:sz w:val="28"/>
          <w:szCs w:val="36"/>
        </w:rPr>
        <w:t>供应商数量按1家</w:t>
      </w:r>
      <w:r>
        <w:rPr>
          <w:rFonts w:hint="eastAsia"/>
          <w:sz w:val="28"/>
          <w:szCs w:val="28"/>
        </w:rPr>
        <w:t>报价</w:t>
      </w:r>
      <w:r>
        <w:rPr>
          <w:rFonts w:hint="eastAsia" w:ascii="仿宋_GB2312" w:hAnsi="仿宋"/>
          <w:bCs/>
          <w:sz w:val="28"/>
          <w:szCs w:val="36"/>
        </w:rPr>
        <w:t>供应商</w:t>
      </w:r>
      <w:r>
        <w:rPr>
          <w:rFonts w:hint="eastAsia" w:ascii="宋体" w:hAnsi="宋体"/>
          <w:bCs/>
          <w:sz w:val="28"/>
          <w:szCs w:val="36"/>
        </w:rPr>
        <w:t>计算。提供不同品牌产品的</w:t>
      </w:r>
      <w:r>
        <w:rPr>
          <w:rFonts w:hint="eastAsia"/>
          <w:sz w:val="28"/>
          <w:szCs w:val="28"/>
        </w:rPr>
        <w:t>报价</w:t>
      </w:r>
      <w:r>
        <w:rPr>
          <w:rFonts w:hint="eastAsia" w:ascii="仿宋_GB2312" w:hAnsi="仿宋"/>
          <w:bCs/>
          <w:sz w:val="28"/>
          <w:szCs w:val="36"/>
        </w:rPr>
        <w:t>供应商达到3家及以上的继续组织评审。其中，采用综合评分法的，应当分别对同品牌的所有报价供应商进行评分，由得分最高的报价供应商参加后续评审；采用经评审的最低价法的，由同品牌的所有报价供应商中报价最低的参加后续评审。同品牌报价供应商得分或报价相同的，由评审委员会按照</w:t>
      </w:r>
      <w:r>
        <w:rPr>
          <w:rFonts w:hint="eastAsia" w:asciiTheme="minorEastAsia" w:hAnsiTheme="minorEastAsia" w:eastAsiaTheme="minorEastAsia"/>
          <w:bCs/>
          <w:sz w:val="28"/>
          <w:szCs w:val="28"/>
        </w:rPr>
        <w:t>【报价供应商须知前附表】明确的方式</w:t>
      </w:r>
      <w:r>
        <w:rPr>
          <w:rFonts w:hint="eastAsia" w:ascii="仿宋_GB2312" w:hAnsi="仿宋"/>
          <w:bCs/>
          <w:sz w:val="28"/>
          <w:szCs w:val="36"/>
        </w:rPr>
        <w:t>确定1家报价供应商参加后续评审。只有</w:t>
      </w:r>
      <w:r>
        <w:rPr>
          <w:rFonts w:ascii="仿宋_GB2312" w:hAnsi="仿宋"/>
          <w:bCs/>
          <w:sz w:val="28"/>
          <w:szCs w:val="36"/>
        </w:rPr>
        <w:t>2</w:t>
      </w:r>
      <w:r>
        <w:rPr>
          <w:rFonts w:hint="eastAsia" w:ascii="仿宋_GB2312" w:hAnsi="仿宋"/>
          <w:bCs/>
          <w:sz w:val="28"/>
          <w:szCs w:val="36"/>
        </w:rPr>
        <w:t>家品牌产品的，按照第</w:t>
      </w:r>
      <w:r>
        <w:rPr>
          <w:rFonts w:ascii="仿宋_GB2312" w:hAnsi="仿宋"/>
          <w:bCs/>
          <w:sz w:val="28"/>
          <w:szCs w:val="36"/>
        </w:rPr>
        <w:t>41.1</w:t>
      </w:r>
      <w:r>
        <w:rPr>
          <w:rFonts w:hint="eastAsia" w:ascii="仿宋_GB2312" w:hAnsi="仿宋"/>
          <w:bCs/>
          <w:sz w:val="28"/>
          <w:szCs w:val="36"/>
        </w:rPr>
        <w:t>条明确的方法执行。</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36"/>
        </w:rPr>
        <w:t>（</w:t>
      </w:r>
      <w:r>
        <w:rPr>
          <w:rFonts w:ascii="宋体" w:hAnsi="宋体"/>
          <w:bCs/>
          <w:sz w:val="28"/>
          <w:szCs w:val="36"/>
        </w:rPr>
        <w:t>2）多个品种物资采购项目</w:t>
      </w:r>
      <w:r>
        <w:rPr>
          <w:rFonts w:hint="eastAsia" w:ascii="宋体" w:hAnsi="宋体"/>
          <w:bCs/>
          <w:sz w:val="28"/>
          <w:szCs w:val="36"/>
        </w:rPr>
        <w:t>，</w:t>
      </w:r>
      <w:r>
        <w:rPr>
          <w:rFonts w:hint="eastAsia" w:ascii="宋体" w:hAnsi="宋体"/>
          <w:bCs/>
          <w:sz w:val="28"/>
          <w:szCs w:val="28"/>
        </w:rPr>
        <w:t>核心产品见</w:t>
      </w:r>
      <w:r>
        <w:rPr>
          <w:rFonts w:hint="eastAsia" w:asciiTheme="minorEastAsia" w:hAnsiTheme="minorEastAsia" w:eastAsiaTheme="minorEastAsia"/>
          <w:bCs/>
          <w:sz w:val="28"/>
          <w:szCs w:val="28"/>
        </w:rPr>
        <w:t>【报价供应商须知前附表】</w:t>
      </w:r>
      <w:r>
        <w:rPr>
          <w:rFonts w:hint="eastAsia" w:ascii="宋体" w:hAnsi="宋体"/>
          <w:bCs/>
          <w:sz w:val="28"/>
          <w:szCs w:val="28"/>
        </w:rPr>
        <w:t>。</w:t>
      </w:r>
      <w:r>
        <w:rPr>
          <w:rFonts w:hint="eastAsia" w:ascii="宋体" w:hAnsi="宋体"/>
          <w:bCs/>
          <w:sz w:val="28"/>
          <w:szCs w:val="36"/>
        </w:rPr>
        <w:t>多家报价供应商提供的核心产品品牌相同的，以及</w:t>
      </w:r>
      <w:r>
        <w:rPr>
          <w:rFonts w:hint="eastAsia"/>
          <w:sz w:val="28"/>
          <w:szCs w:val="28"/>
        </w:rPr>
        <w:t>谈判</w:t>
      </w:r>
      <w:r>
        <w:rPr>
          <w:rFonts w:hint="eastAsia" w:ascii="宋体" w:hAnsi="宋体"/>
          <w:bCs/>
          <w:sz w:val="28"/>
          <w:szCs w:val="36"/>
        </w:rPr>
        <w:t>文件未明确核心产品、不同报价供应商提供的相同品牌产品金额均超过各自报价</w:t>
      </w:r>
      <w:r>
        <w:rPr>
          <w:rFonts w:ascii="宋体" w:hAnsi="宋体"/>
          <w:bCs/>
          <w:sz w:val="28"/>
          <w:szCs w:val="36"/>
        </w:rPr>
        <w:t>50%的，按照</w:t>
      </w:r>
      <w:r>
        <w:rPr>
          <w:rFonts w:hint="eastAsia" w:ascii="宋体" w:hAnsi="宋体"/>
          <w:bCs/>
          <w:sz w:val="28"/>
          <w:szCs w:val="36"/>
        </w:rPr>
        <w:t>1</w:t>
      </w:r>
      <w:r>
        <w:rPr>
          <w:rFonts w:ascii="宋体" w:hAnsi="宋体"/>
          <w:bCs/>
          <w:sz w:val="28"/>
          <w:szCs w:val="36"/>
        </w:rPr>
        <w:t>家报价供应商计算，依据前</w:t>
      </w:r>
      <w:r>
        <w:rPr>
          <w:rFonts w:hint="eastAsia" w:ascii="宋体" w:hAnsi="宋体"/>
          <w:bCs/>
          <w:sz w:val="28"/>
          <w:szCs w:val="36"/>
        </w:rPr>
        <w:t>条</w:t>
      </w:r>
      <w:r>
        <w:rPr>
          <w:rFonts w:ascii="宋体" w:hAnsi="宋体"/>
          <w:bCs/>
          <w:sz w:val="28"/>
          <w:szCs w:val="36"/>
        </w:rPr>
        <w:t>执行。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30.5</w:t>
      </w:r>
      <w:r>
        <w:rPr>
          <w:rFonts w:hint="eastAsia" w:ascii="宋体" w:hAnsi="宋体"/>
          <w:bCs/>
          <w:sz w:val="28"/>
          <w:szCs w:val="28"/>
        </w:rPr>
        <w:t>评审委员会成员对客观分值的评分应当一致；财务状况、技术偏离、业绩等，应当以报价供应商提供的财务报表、检测报告、资质文件、合同原件或复印件，以及有关证明材料为依据。对其他需要借助专业知识评判的主观分值，应当严格按照评分细则独立评审。</w:t>
      </w:r>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31.价格评审</w:t>
      </w:r>
    </w:p>
    <w:p>
      <w:pPr>
        <w:spacing w:line="560" w:lineRule="exact"/>
        <w:ind w:firstLine="560" w:firstLineChars="200"/>
        <w:rPr>
          <w:rFonts w:asciiTheme="minorEastAsia" w:hAnsiTheme="minorEastAsia" w:eastAsiaTheme="minorEastAsia"/>
          <w:bCs/>
          <w:sz w:val="28"/>
          <w:szCs w:val="28"/>
        </w:rPr>
      </w:pPr>
      <w:r>
        <w:rPr>
          <w:rFonts w:hint="eastAsia" w:ascii="宋体" w:hAnsi="宋体"/>
          <w:bCs/>
          <w:snapToGrid w:val="0"/>
          <w:sz w:val="28"/>
          <w:szCs w:val="28"/>
          <w:lang w:val="zh-CN"/>
        </w:rPr>
        <w:t>商务、技术评审结束后，工作人员再将最终报价文件的价格部分提交</w:t>
      </w:r>
      <w:r>
        <w:rPr>
          <w:rFonts w:hint="eastAsia" w:ascii="宋体" w:hAnsi="宋体"/>
          <w:bCs/>
          <w:sz w:val="28"/>
          <w:szCs w:val="28"/>
        </w:rPr>
        <w:t>评审委员会。</w:t>
      </w:r>
      <w:r>
        <w:rPr>
          <w:rFonts w:hint="eastAsia" w:asciiTheme="minorEastAsia" w:hAnsiTheme="minorEastAsia" w:eastAsiaTheme="minorEastAsia"/>
          <w:bCs/>
          <w:sz w:val="28"/>
          <w:szCs w:val="28"/>
        </w:rPr>
        <w:t>评审委员会组织价格评审，核对报价内容是否准确、合理。</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31.1</w:t>
      </w:r>
      <w:r>
        <w:rPr>
          <w:rFonts w:hint="eastAsia" w:asciiTheme="minorEastAsia" w:hAnsiTheme="minorEastAsia" w:eastAsiaTheme="minorEastAsia"/>
          <w:bCs/>
          <w:sz w:val="28"/>
          <w:szCs w:val="28"/>
        </w:rPr>
        <w:t>综合评分法的价格分</w:t>
      </w:r>
      <w:r>
        <w:rPr>
          <w:rFonts w:hint="eastAsia" w:ascii="宋体" w:hAnsi="宋体"/>
          <w:bCs/>
          <w:sz w:val="28"/>
          <w:szCs w:val="28"/>
        </w:rPr>
        <w:t>，</w:t>
      </w:r>
      <w:r>
        <w:rPr>
          <w:rFonts w:hint="eastAsia" w:asciiTheme="minorEastAsia" w:hAnsiTheme="minorEastAsia" w:eastAsiaTheme="minorEastAsia"/>
          <w:bCs/>
          <w:sz w:val="28"/>
          <w:szCs w:val="28"/>
        </w:rPr>
        <w:t>采用低价优先法计算，即满足</w:t>
      </w:r>
      <w:r>
        <w:rPr>
          <w:rFonts w:hint="eastAsia"/>
          <w:sz w:val="28"/>
          <w:szCs w:val="28"/>
        </w:rPr>
        <w:t>谈判</w:t>
      </w:r>
      <w:r>
        <w:rPr>
          <w:rFonts w:hint="eastAsia" w:asciiTheme="minorEastAsia" w:hAnsiTheme="minorEastAsia" w:eastAsiaTheme="minorEastAsia"/>
          <w:bCs/>
          <w:sz w:val="28"/>
          <w:szCs w:val="28"/>
        </w:rPr>
        <w:t>文件实质性要求的报价供应商最低报价为评审基准价，其价格分为满分（标准分值）。其他报价供应商的价格分按照下列公式计算：</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价格得分</w:t>
      </w:r>
      <w:r>
        <w:rPr>
          <w:rFonts w:asciiTheme="minorEastAsia" w:hAnsiTheme="minorEastAsia" w:eastAsiaTheme="minorEastAsia"/>
          <w:bCs/>
          <w:sz w:val="28"/>
          <w:szCs w:val="28"/>
        </w:rPr>
        <w:t>=（评审基准价/报价）×标准分值</w:t>
      </w:r>
    </w:p>
    <w:p>
      <w:pPr>
        <w:adjustRightInd w:val="0"/>
        <w:snapToGrid w:val="0"/>
        <w:spacing w:line="560" w:lineRule="exact"/>
        <w:ind w:firstLine="560" w:firstLineChars="200"/>
      </w:pPr>
      <w:r>
        <w:rPr>
          <w:rFonts w:ascii="宋体" w:hAnsi="宋体"/>
          <w:bCs/>
          <w:sz w:val="28"/>
          <w:szCs w:val="28"/>
        </w:rPr>
        <w:t>31.2经评审的最低价法</w:t>
      </w:r>
      <w:r>
        <w:rPr>
          <w:rFonts w:hint="eastAsia" w:ascii="宋体" w:hAnsi="宋体"/>
          <w:bCs/>
          <w:sz w:val="28"/>
          <w:szCs w:val="28"/>
        </w:rPr>
        <w:t>的价格评审，</w:t>
      </w:r>
      <w:r>
        <w:rPr>
          <w:rFonts w:ascii="宋体" w:hAnsi="宋体"/>
          <w:bCs/>
          <w:sz w:val="28"/>
          <w:szCs w:val="28"/>
        </w:rPr>
        <w:t>按照</w:t>
      </w:r>
      <w:r>
        <w:rPr>
          <w:rFonts w:hint="eastAsia" w:ascii="宋体" w:hAnsi="宋体"/>
          <w:bCs/>
          <w:sz w:val="28"/>
          <w:szCs w:val="28"/>
        </w:rPr>
        <w:t>最终</w:t>
      </w:r>
      <w:r>
        <w:rPr>
          <w:rFonts w:ascii="宋体" w:hAnsi="宋体"/>
          <w:bCs/>
          <w:sz w:val="28"/>
          <w:szCs w:val="28"/>
        </w:rPr>
        <w:t>报价由低到高顺序排</w:t>
      </w:r>
      <w:r>
        <w:rPr>
          <w:rFonts w:hint="eastAsia" w:ascii="宋体" w:hAnsi="宋体"/>
          <w:bCs/>
          <w:sz w:val="28"/>
          <w:szCs w:val="28"/>
        </w:rPr>
        <w:t>列。</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31.3</w:t>
      </w:r>
      <w:r>
        <w:rPr>
          <w:rFonts w:hint="eastAsia" w:ascii="宋体" w:hAnsi="宋体"/>
          <w:bCs/>
          <w:sz w:val="28"/>
          <w:szCs w:val="28"/>
        </w:rPr>
        <w:t>评审委员会认为报价供应商报价低于其他所有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31.4报价供应商</w:t>
      </w:r>
      <w:r>
        <w:rPr>
          <w:rFonts w:hint="eastAsia" w:ascii="宋体" w:hAnsi="宋体"/>
          <w:bCs/>
          <w:sz w:val="28"/>
          <w:szCs w:val="28"/>
        </w:rPr>
        <w:t>最终</w:t>
      </w:r>
      <w:r>
        <w:rPr>
          <w:rFonts w:ascii="宋体" w:hAnsi="宋体"/>
          <w:bCs/>
          <w:sz w:val="28"/>
          <w:szCs w:val="28"/>
        </w:rPr>
        <w:t>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1）报价供应商</w:t>
      </w:r>
      <w:r>
        <w:rPr>
          <w:rFonts w:hint="eastAsia" w:ascii="宋体" w:hAnsi="宋体"/>
          <w:bCs/>
          <w:sz w:val="28"/>
          <w:szCs w:val="28"/>
        </w:rPr>
        <w:t>最终</w:t>
      </w:r>
      <w:r>
        <w:rPr>
          <w:rFonts w:ascii="宋体" w:hAnsi="宋体"/>
          <w:bCs/>
          <w:sz w:val="28"/>
          <w:szCs w:val="28"/>
        </w:rPr>
        <w:t>报价均超预算的，</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2）部分报价供应商</w:t>
      </w:r>
      <w:r>
        <w:rPr>
          <w:rFonts w:hint="eastAsia" w:ascii="宋体" w:hAnsi="宋体"/>
          <w:bCs/>
          <w:sz w:val="28"/>
          <w:szCs w:val="28"/>
        </w:rPr>
        <w:t>最终</w:t>
      </w:r>
      <w:r>
        <w:rPr>
          <w:rFonts w:ascii="宋体" w:hAnsi="宋体"/>
          <w:bCs/>
          <w:sz w:val="28"/>
          <w:szCs w:val="28"/>
        </w:rPr>
        <w:t>报价超预算的，应当继续评审。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最终</w:t>
      </w:r>
      <w:r>
        <w:rPr>
          <w:rFonts w:ascii="宋体" w:hAnsi="宋体"/>
          <w:bCs/>
          <w:sz w:val="28"/>
          <w:szCs w:val="28"/>
        </w:rPr>
        <w:t>报价未超预算的，评审结果有效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最终报价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32.汇总得分</w:t>
      </w:r>
    </w:p>
    <w:p>
      <w:pPr>
        <w:pStyle w:val="7"/>
        <w:spacing w:line="560" w:lineRule="exact"/>
        <w:ind w:firstLine="560" w:firstLineChars="200"/>
      </w:pPr>
      <w:r>
        <w:rPr>
          <w:rFonts w:asciiTheme="minorEastAsia" w:hAnsiTheme="minorEastAsia" w:eastAsiaTheme="minorEastAsia"/>
          <w:bCs/>
          <w:sz w:val="28"/>
          <w:szCs w:val="28"/>
        </w:rPr>
        <w:t>32.1</w:t>
      </w:r>
      <w:r>
        <w:rPr>
          <w:rFonts w:hint="eastAsia" w:ascii="宋体" w:hAnsi="宋体"/>
          <w:bCs/>
          <w:sz w:val="28"/>
          <w:szCs w:val="28"/>
        </w:rPr>
        <w:t>报价供应商评审总得分为最终报价、商务、技术评分项得分之和。评分分值计算保留小数点后两位，小数点后第三位“四舍五入”。</w:t>
      </w:r>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33.复核评审结果</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33.1</w:t>
      </w:r>
      <w:r>
        <w:rPr>
          <w:rFonts w:hint="eastAsia" w:ascii="宋体" w:hAnsi="宋体"/>
          <w:bCs/>
          <w:sz w:val="28"/>
          <w:szCs w:val="28"/>
        </w:rPr>
        <w:t>评审委员会</w:t>
      </w:r>
      <w:r>
        <w:rPr>
          <w:rFonts w:ascii="宋体" w:hAnsi="宋体"/>
          <w:bCs/>
          <w:sz w:val="28"/>
          <w:szCs w:val="28"/>
        </w:rPr>
        <w:t>对评审</w:t>
      </w:r>
      <w:r>
        <w:rPr>
          <w:rFonts w:hint="eastAsia" w:ascii="宋体" w:hAnsi="宋体"/>
          <w:bCs/>
          <w:sz w:val="28"/>
          <w:szCs w:val="28"/>
        </w:rPr>
        <w:t>评分情况核对，重点</w:t>
      </w:r>
      <w:r>
        <w:rPr>
          <w:rFonts w:hint="eastAsia" w:ascii="仿宋_GB2312" w:hAnsi="仿宋"/>
          <w:bCs/>
          <w:sz w:val="28"/>
          <w:szCs w:val="36"/>
        </w:rPr>
        <w:t>核对客观分值评分错误、分值汇总计算错误、报价较高且预成交或报价较低且未成交等情形，并在评审报告中说明原因</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33.2</w:t>
      </w:r>
      <w:r>
        <w:rPr>
          <w:rFonts w:hint="eastAsia" w:ascii="宋体" w:hAnsi="宋体"/>
          <w:bCs/>
          <w:sz w:val="28"/>
          <w:szCs w:val="28"/>
        </w:rPr>
        <w:t>采购机构对评审委员会的评审结果进行复核，重点复核评审底稿记录信息是否完整、符合性审查是否有误、报价供应商填报信息与评审委员会成员判定是否一致、客观分值是否一致、分值汇总计算是否正确、评分有无畸高畸低等情形，如有问题应当要求评审委员会当场书面说明并予以更正，评审委员会对复核结果有异议的，以采购机构复核结果为准，并由采购机构出具书面意见详细说明出现异议的原因及处理方式，双方签字确认。评审委员会拒绝签字确认的，采购机构如实记录并存入采购档案。</w:t>
      </w:r>
    </w:p>
    <w:p>
      <w:pPr>
        <w:pStyle w:val="6"/>
        <w:adjustRightInd w:val="0"/>
        <w:snapToGrid w:val="0"/>
        <w:spacing w:line="560" w:lineRule="exact"/>
        <w:ind w:firstLine="560" w:firstLineChars="200"/>
        <w:rPr>
          <w:rFonts w:hint="default" w:ascii="黑体" w:hAnsi="黑体"/>
          <w:b w:val="0"/>
          <w:sz w:val="28"/>
          <w:szCs w:val="28"/>
        </w:rPr>
      </w:pPr>
      <w:bookmarkStart w:id="225" w:name="_Toc14049"/>
      <w:bookmarkStart w:id="226" w:name="_Toc20681"/>
      <w:bookmarkStart w:id="227" w:name="_Toc121216115"/>
      <w:bookmarkStart w:id="228" w:name="_Toc11969"/>
      <w:bookmarkStart w:id="229" w:name="_Toc4538"/>
      <w:r>
        <w:rPr>
          <w:rFonts w:ascii="黑体" w:hAnsi="黑体"/>
          <w:b w:val="0"/>
          <w:sz w:val="28"/>
          <w:szCs w:val="28"/>
        </w:rPr>
        <w:t>34.推荐预成交供应商</w:t>
      </w:r>
      <w:bookmarkEnd w:id="225"/>
      <w:bookmarkEnd w:id="226"/>
      <w:bookmarkEnd w:id="227"/>
      <w:bookmarkEnd w:id="228"/>
      <w:bookmarkEnd w:id="229"/>
    </w:p>
    <w:p>
      <w:pPr>
        <w:adjustRightInd w:val="0"/>
        <w:snapToGrid w:val="0"/>
        <w:spacing w:line="560" w:lineRule="exact"/>
        <w:ind w:firstLine="560" w:firstLineChars="200"/>
        <w:rPr>
          <w:rFonts w:ascii="宋体" w:hAnsi="宋体"/>
          <w:bCs/>
          <w:sz w:val="28"/>
          <w:szCs w:val="28"/>
        </w:rPr>
      </w:pPr>
      <w:r>
        <w:rPr>
          <w:rFonts w:ascii="宋体" w:hAnsi="宋体"/>
          <w:bCs/>
          <w:sz w:val="28"/>
          <w:szCs w:val="28"/>
        </w:rPr>
        <w:t>评审委员会依据经过复核的评审结果，对报价供应商进行排序并推荐预成交供应商</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34.1</w:t>
      </w:r>
      <w:r>
        <w:rPr>
          <w:rFonts w:hint="eastAsia" w:ascii="宋体" w:hAnsi="宋体"/>
          <w:bCs/>
          <w:sz w:val="28"/>
          <w:szCs w:val="28"/>
        </w:rPr>
        <w:t>采用综合评分法</w:t>
      </w:r>
      <w:r>
        <w:rPr>
          <w:rFonts w:ascii="宋体" w:hAnsi="宋体"/>
          <w:bCs/>
          <w:sz w:val="28"/>
          <w:szCs w:val="28"/>
        </w:rPr>
        <w:t>评审</w:t>
      </w:r>
      <w:r>
        <w:rPr>
          <w:rFonts w:hint="eastAsia" w:ascii="宋体" w:hAnsi="宋体"/>
          <w:bCs/>
          <w:sz w:val="28"/>
          <w:szCs w:val="28"/>
        </w:rPr>
        <w:t>时，评审委员会按照</w:t>
      </w:r>
      <w:r>
        <w:rPr>
          <w:rFonts w:ascii="宋体" w:hAnsi="宋体"/>
          <w:bCs/>
          <w:sz w:val="28"/>
          <w:szCs w:val="28"/>
        </w:rPr>
        <w:t>商务</w:t>
      </w:r>
      <w:r>
        <w:rPr>
          <w:rFonts w:hint="eastAsia" w:ascii="宋体" w:hAnsi="宋体"/>
          <w:bCs/>
          <w:sz w:val="28"/>
          <w:szCs w:val="28"/>
        </w:rPr>
        <w:t>、</w:t>
      </w:r>
      <w:r>
        <w:rPr>
          <w:rFonts w:ascii="宋体" w:hAnsi="宋体"/>
          <w:bCs/>
          <w:sz w:val="28"/>
          <w:szCs w:val="28"/>
        </w:rPr>
        <w:t>技术</w:t>
      </w:r>
      <w:r>
        <w:rPr>
          <w:rFonts w:hint="eastAsia" w:ascii="宋体" w:hAnsi="宋体"/>
          <w:bCs/>
          <w:sz w:val="28"/>
          <w:szCs w:val="28"/>
        </w:rPr>
        <w:t>和价格</w:t>
      </w:r>
      <w:r>
        <w:rPr>
          <w:rFonts w:ascii="宋体" w:hAnsi="宋体"/>
          <w:bCs/>
          <w:sz w:val="28"/>
          <w:szCs w:val="28"/>
        </w:rPr>
        <w:t>评审总得分由高到低顺序排列，</w:t>
      </w:r>
      <w:r>
        <w:rPr>
          <w:rFonts w:hint="eastAsia" w:ascii="宋体" w:hAnsi="宋体"/>
          <w:bCs/>
          <w:sz w:val="28"/>
          <w:szCs w:val="28"/>
        </w:rPr>
        <w:t>得分</w:t>
      </w:r>
      <w:r>
        <w:rPr>
          <w:rFonts w:ascii="宋体" w:hAnsi="宋体"/>
          <w:bCs/>
          <w:sz w:val="28"/>
          <w:szCs w:val="28"/>
        </w:rPr>
        <w:t>最高的报价供应商作为预成交供应商；</w:t>
      </w:r>
      <w:r>
        <w:rPr>
          <w:rFonts w:hint="eastAsia" w:ascii="宋体" w:hAnsi="宋体"/>
          <w:bCs/>
          <w:sz w:val="28"/>
          <w:szCs w:val="28"/>
        </w:rPr>
        <w:t>总得分相同的，按照技术评审得分由高到低进行排序；技术评审得分也相同的，按照报价由低到高进行排序。技术评审得分和报价均相同的，按照专用文件规定的方式确定预成交供应商。专用文件未明确的，采取随机抽取方式确定。</w:t>
      </w:r>
    </w:p>
    <w:p>
      <w:pPr>
        <w:adjustRightInd w:val="0"/>
        <w:snapToGrid w:val="0"/>
        <w:spacing w:line="560" w:lineRule="exact"/>
        <w:ind w:firstLine="560" w:firstLineChars="200"/>
      </w:pPr>
      <w:r>
        <w:rPr>
          <w:rFonts w:ascii="宋体" w:hAnsi="宋体"/>
          <w:bCs/>
          <w:sz w:val="28"/>
          <w:szCs w:val="28"/>
        </w:rPr>
        <w:t>采用经评审的最低价法时，评审委员会</w:t>
      </w:r>
      <w:r>
        <w:rPr>
          <w:rFonts w:hint="eastAsia" w:ascii="宋体" w:hAnsi="宋体"/>
          <w:bCs/>
          <w:sz w:val="28"/>
          <w:szCs w:val="28"/>
        </w:rPr>
        <w:t>将有效谈判</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34.2</w:t>
      </w:r>
      <w:r>
        <w:rPr>
          <w:rFonts w:hint="eastAsia" w:ascii="宋体" w:hAnsi="宋体"/>
          <w:bCs/>
          <w:sz w:val="28"/>
          <w:szCs w:val="28"/>
        </w:rPr>
        <w:t>报价供应商报价高于全体有效报价供应商平均报价40%以上的，不得推荐为预成交供应商。</w:t>
      </w:r>
      <w:r>
        <w:rPr>
          <w:rFonts w:ascii="宋体" w:hAnsi="宋体"/>
          <w:bCs/>
          <w:sz w:val="28"/>
          <w:szCs w:val="28"/>
        </w:rPr>
        <w:t>采用综合评分法</w:t>
      </w:r>
      <w:r>
        <w:rPr>
          <w:rFonts w:hint="eastAsia" w:ascii="宋体" w:hAnsi="宋体"/>
          <w:bCs/>
          <w:sz w:val="28"/>
          <w:szCs w:val="28"/>
        </w:rPr>
        <w:t>评审时，报价供应商的</w:t>
      </w:r>
      <w:r>
        <w:rPr>
          <w:rFonts w:ascii="宋体" w:hAnsi="宋体"/>
          <w:bCs/>
          <w:sz w:val="28"/>
          <w:szCs w:val="28"/>
        </w:rPr>
        <w:t>商务和技术得分低于所有有效报价供应商商务和技术得分平均值30%以上的</w:t>
      </w:r>
      <w:r>
        <w:rPr>
          <w:rFonts w:hint="eastAsia" w:ascii="宋体" w:hAnsi="宋体"/>
          <w:bCs/>
          <w:sz w:val="28"/>
          <w:szCs w:val="28"/>
        </w:rPr>
        <w:t>报价</w:t>
      </w:r>
      <w:r>
        <w:rPr>
          <w:rFonts w:ascii="宋体" w:hAnsi="宋体"/>
          <w:bCs/>
          <w:sz w:val="28"/>
          <w:szCs w:val="28"/>
        </w:rPr>
        <w:t>供应商，不得推荐为预成交供应商。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34.3</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w:t>
      </w:r>
      <w:r>
        <w:rPr>
          <w:rFonts w:ascii="宋体" w:hAnsi="宋体"/>
          <w:bCs/>
          <w:sz w:val="28"/>
          <w:szCs w:val="28"/>
        </w:rPr>
        <w:t>1</w:t>
      </w:r>
      <w:r>
        <w:rPr>
          <w:rFonts w:hint="eastAsia" w:ascii="宋体" w:hAnsi="宋体"/>
          <w:bCs/>
          <w:sz w:val="28"/>
          <w:szCs w:val="28"/>
        </w:rPr>
        <w:t>家供应商履约能力无法满足要求的，可以一包选取</w:t>
      </w:r>
      <w:r>
        <w:rPr>
          <w:rFonts w:ascii="宋体" w:hAnsi="宋体"/>
          <w:bCs/>
          <w:sz w:val="28"/>
          <w:szCs w:val="28"/>
        </w:rPr>
        <w:t>2</w:t>
      </w:r>
      <w:r>
        <w:rPr>
          <w:rFonts w:hint="eastAsia" w:ascii="宋体" w:hAnsi="宋体"/>
          <w:bCs/>
          <w:sz w:val="28"/>
          <w:szCs w:val="28"/>
        </w:rPr>
        <w:t>家以上成交供应商，依据排名依次递减的原则确定承担任务数量或范围；也可以分成多包，每包确定</w:t>
      </w:r>
      <w:r>
        <w:rPr>
          <w:rFonts w:ascii="宋体" w:hAnsi="宋体"/>
          <w:bCs/>
          <w:sz w:val="28"/>
          <w:szCs w:val="28"/>
        </w:rPr>
        <w:t>1</w:t>
      </w:r>
      <w:r>
        <w:rPr>
          <w:rFonts w:hint="eastAsia" w:ascii="宋体" w:hAnsi="宋体"/>
          <w:bCs/>
          <w:sz w:val="28"/>
          <w:szCs w:val="28"/>
        </w:rPr>
        <w:t>家供应商。采购机构应当在谈判文件中载明成交供应商数量、承担任务的数量或范围。具体要求见竞争性谈判公告。</w:t>
      </w:r>
    </w:p>
    <w:p>
      <w:pPr>
        <w:adjustRightInd w:val="0"/>
        <w:snapToGrid w:val="0"/>
        <w:spacing w:line="560" w:lineRule="exact"/>
        <w:ind w:firstLine="560" w:firstLineChars="200"/>
        <w:rPr>
          <w:rFonts w:ascii="宋体" w:hAnsi="宋体"/>
          <w:bCs/>
          <w:sz w:val="28"/>
          <w:szCs w:val="28"/>
        </w:rPr>
      </w:pPr>
      <w:r>
        <w:rPr>
          <w:rFonts w:hint="eastAsia" w:ascii="宋体" w:hAnsi="宋体"/>
          <w:sz w:val="28"/>
          <w:szCs w:val="28"/>
        </w:rPr>
        <w:t>确定多家供应商成交的，报价供应商数量通常为成交数量的</w:t>
      </w:r>
      <w:r>
        <w:rPr>
          <w:rFonts w:ascii="宋体" w:hAnsi="宋体"/>
          <w:sz w:val="28"/>
          <w:szCs w:val="28"/>
        </w:rPr>
        <w:t>3</w:t>
      </w:r>
      <w:r>
        <w:rPr>
          <w:rFonts w:hint="eastAsia" w:ascii="宋体" w:hAnsi="宋体"/>
          <w:sz w:val="28"/>
          <w:szCs w:val="28"/>
        </w:rPr>
        <w:t>倍以上；不足</w:t>
      </w:r>
      <w:r>
        <w:rPr>
          <w:rFonts w:ascii="宋体" w:hAnsi="宋体"/>
          <w:sz w:val="28"/>
          <w:szCs w:val="28"/>
        </w:rPr>
        <w:t>3</w:t>
      </w:r>
      <w:r>
        <w:rPr>
          <w:rFonts w:hint="eastAsia" w:ascii="宋体" w:hAnsi="宋体"/>
          <w:sz w:val="28"/>
          <w:szCs w:val="28"/>
        </w:rPr>
        <w:t>倍但达到</w:t>
      </w:r>
      <w:r>
        <w:rPr>
          <w:rFonts w:ascii="宋体" w:hAnsi="宋体"/>
          <w:sz w:val="28"/>
          <w:szCs w:val="28"/>
        </w:rPr>
        <w:t>2</w:t>
      </w:r>
      <w:r>
        <w:rPr>
          <w:rFonts w:hint="eastAsia" w:ascii="宋体" w:hAnsi="宋体"/>
          <w:sz w:val="28"/>
          <w:szCs w:val="28"/>
        </w:rPr>
        <w:t>倍的，按照本章第</w:t>
      </w:r>
      <w:r>
        <w:rPr>
          <w:rFonts w:ascii="宋体" w:hAnsi="宋体"/>
          <w:sz w:val="28"/>
          <w:szCs w:val="28"/>
        </w:rPr>
        <w:t>41.1</w:t>
      </w:r>
      <w:r>
        <w:rPr>
          <w:rFonts w:hint="eastAsia" w:ascii="宋体" w:hAnsi="宋体"/>
          <w:sz w:val="28"/>
          <w:szCs w:val="28"/>
        </w:rPr>
        <w:t>条规定执行；不足</w:t>
      </w:r>
      <w:r>
        <w:rPr>
          <w:rFonts w:ascii="宋体" w:hAnsi="宋体"/>
          <w:sz w:val="28"/>
          <w:szCs w:val="28"/>
        </w:rPr>
        <w:t>2</w:t>
      </w:r>
      <w:r>
        <w:rPr>
          <w:rFonts w:hint="eastAsia" w:ascii="宋体" w:hAnsi="宋体"/>
          <w:sz w:val="28"/>
          <w:szCs w:val="28"/>
        </w:rPr>
        <w:t>倍的，重新组织采购</w:t>
      </w:r>
      <w:r>
        <w:rPr>
          <w:rFonts w:ascii="宋体" w:hAnsi="宋体"/>
          <w:sz w:val="28"/>
          <w:szCs w:val="28"/>
        </w:rPr>
        <w:t>。</w:t>
      </w:r>
      <w:r>
        <w:rPr>
          <w:rFonts w:hint="eastAsia" w:ascii="宋体" w:hAnsi="宋体"/>
          <w:sz w:val="28"/>
          <w:szCs w:val="28"/>
        </w:rPr>
        <w:t>经评审符合要求的报价供应商数量通常为成交数量的</w:t>
      </w:r>
      <w:r>
        <w:rPr>
          <w:rFonts w:ascii="宋体" w:hAnsi="宋体"/>
          <w:sz w:val="28"/>
          <w:szCs w:val="28"/>
        </w:rPr>
        <w:t>2倍以上</w:t>
      </w:r>
      <w:r>
        <w:rPr>
          <w:rFonts w:hint="eastAsia" w:ascii="宋体" w:hAnsi="宋体"/>
          <w:sz w:val="28"/>
          <w:szCs w:val="28"/>
        </w:rPr>
        <w:t>；不足</w:t>
      </w:r>
      <w:r>
        <w:rPr>
          <w:rFonts w:ascii="宋体" w:hAnsi="宋体"/>
          <w:sz w:val="28"/>
          <w:szCs w:val="28"/>
        </w:rPr>
        <w:t>2</w:t>
      </w:r>
      <w:r>
        <w:rPr>
          <w:rFonts w:hint="eastAsia" w:ascii="宋体" w:hAnsi="宋体"/>
          <w:sz w:val="28"/>
          <w:szCs w:val="28"/>
        </w:rPr>
        <w:t>倍但达到</w:t>
      </w:r>
      <w:r>
        <w:rPr>
          <w:rFonts w:ascii="宋体" w:hAnsi="宋体"/>
          <w:sz w:val="28"/>
          <w:szCs w:val="28"/>
        </w:rPr>
        <w:t>1.5</w:t>
      </w:r>
      <w:r>
        <w:rPr>
          <w:rFonts w:hint="eastAsia" w:ascii="宋体" w:hAnsi="宋体"/>
          <w:sz w:val="28"/>
          <w:szCs w:val="28"/>
        </w:rPr>
        <w:t>倍的，采购机构可以商采购单位相应减少成交数量，经采购单位</w:t>
      </w:r>
      <w:r>
        <w:rPr>
          <w:rFonts w:hint="eastAsia" w:ascii="宋体" w:hAnsi="宋体"/>
          <w:bCs/>
          <w:sz w:val="28"/>
          <w:szCs w:val="28"/>
        </w:rPr>
        <w:t>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多家报价供应商成交价格确定方式应当唯一，具体方式见谈判文件专用文件。</w:t>
      </w:r>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35.出具评审报告</w:t>
      </w:r>
    </w:p>
    <w:p>
      <w:pPr>
        <w:adjustRightInd w:val="0"/>
        <w:snapToGrid w:val="0"/>
        <w:spacing w:line="560" w:lineRule="exact"/>
        <w:ind w:firstLine="560" w:firstLineChars="200"/>
      </w:pPr>
      <w:r>
        <w:rPr>
          <w:rFonts w:asciiTheme="minorEastAsia" w:hAnsiTheme="minorEastAsia" w:eastAsiaTheme="minorEastAsia"/>
          <w:bCs/>
          <w:sz w:val="28"/>
          <w:szCs w:val="28"/>
        </w:rPr>
        <w:t>35.1</w:t>
      </w:r>
      <w:r>
        <w:rPr>
          <w:rFonts w:hint="eastAsia" w:ascii="宋体" w:hAnsi="宋体"/>
          <w:bCs/>
          <w:sz w:val="28"/>
          <w:szCs w:val="28"/>
        </w:rPr>
        <w:t>评审委员会根据全体成员签字的原始评标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36.宣布评审结果</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36.1</w:t>
      </w:r>
      <w:r>
        <w:rPr>
          <w:rFonts w:hint="eastAsia" w:ascii="宋体" w:hAnsi="宋体"/>
          <w:bCs/>
          <w:sz w:val="28"/>
          <w:szCs w:val="28"/>
        </w:rPr>
        <w:t>评审委员会组长应当当场向所有报价供应商宣布评审结果，包括报价供应商评审排名和最终报价，无效报价供应商名单和原因等。报价供应商有疑义的，评审委员会应当当场予以解答。</w:t>
      </w:r>
    </w:p>
    <w:p>
      <w:pPr>
        <w:pStyle w:val="6"/>
        <w:adjustRightInd w:val="0"/>
        <w:snapToGrid w:val="0"/>
        <w:spacing w:line="560" w:lineRule="exact"/>
        <w:ind w:firstLine="560" w:firstLineChars="200"/>
        <w:rPr>
          <w:rFonts w:hint="default" w:ascii="黑体" w:hAnsi="黑体"/>
          <w:b w:val="0"/>
          <w:sz w:val="28"/>
          <w:szCs w:val="28"/>
        </w:rPr>
      </w:pPr>
      <w:bookmarkStart w:id="230" w:name="_Toc121216116"/>
      <w:bookmarkStart w:id="231" w:name="_Toc7662"/>
      <w:bookmarkStart w:id="232" w:name="_Toc2853"/>
      <w:bookmarkStart w:id="233" w:name="_Toc25551"/>
      <w:bookmarkStart w:id="234" w:name="_Toc8122"/>
      <w:r>
        <w:rPr>
          <w:rFonts w:ascii="黑体" w:hAnsi="黑体"/>
          <w:b w:val="0"/>
          <w:sz w:val="28"/>
          <w:szCs w:val="28"/>
        </w:rPr>
        <w:t>37.无效</w:t>
      </w:r>
      <w:bookmarkEnd w:id="230"/>
      <w:bookmarkEnd w:id="231"/>
      <w:bookmarkEnd w:id="232"/>
      <w:bookmarkEnd w:id="233"/>
      <w:bookmarkEnd w:id="234"/>
      <w:r>
        <w:rPr>
          <w:rFonts w:ascii="黑体" w:hAnsi="黑体"/>
          <w:b w:val="0"/>
          <w:sz w:val="28"/>
          <w:szCs w:val="28"/>
        </w:rPr>
        <w:t>报价</w:t>
      </w:r>
    </w:p>
    <w:p>
      <w:pPr>
        <w:pStyle w:val="18"/>
        <w:adjustRightInd w:val="0"/>
        <w:snapToGrid w:val="0"/>
        <w:spacing w:line="560" w:lineRule="exact"/>
        <w:ind w:firstLine="560"/>
        <w:rPr>
          <w:rFonts w:ascii="宋体" w:hAnsi="宋体"/>
          <w:bCs/>
          <w:sz w:val="28"/>
          <w:szCs w:val="28"/>
        </w:rPr>
      </w:pPr>
      <w:r>
        <w:rPr>
          <w:rFonts w:ascii="宋体" w:hAnsi="宋体"/>
          <w:bCs/>
          <w:sz w:val="28"/>
          <w:szCs w:val="28"/>
        </w:rPr>
        <w:t>37.1在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w:t>
      </w:r>
      <w:r>
        <w:rPr>
          <w:rFonts w:hint="eastAsia" w:ascii="宋体" w:hAnsi="宋体"/>
          <w:bCs/>
          <w:sz w:val="28"/>
          <w:szCs w:val="28"/>
        </w:rPr>
        <w:t>条规定的情形除外：</w:t>
      </w:r>
    </w:p>
    <w:p>
      <w:pPr>
        <w:pStyle w:val="18"/>
        <w:adjustRightInd w:val="0"/>
        <w:snapToGrid w:val="0"/>
        <w:spacing w:line="560" w:lineRule="exact"/>
        <w:ind w:firstLine="56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未按照谈判文件要求密封的；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不具备谈判文件中规定的资格性要求的；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未按照规定交纳谈判保证金的；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38条规定的情形除外：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未按照谈判文件要求签署、盖章的；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有效期不符合谈判文件要求的；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（3）技术</w:t>
      </w:r>
      <w:r>
        <w:rPr>
          <w:rFonts w:hint="eastAsia" w:ascii="仿宋_GB2312" w:hAnsi="仿宋" w:cs="仿宋"/>
          <w:bCs/>
          <w:sz w:val="28"/>
          <w:szCs w:val="28"/>
        </w:rPr>
        <w:t>和商务的实质性条款不满足谈判文件要求的；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（4）其他不</w:t>
      </w:r>
      <w:r>
        <w:rPr>
          <w:rFonts w:hint="eastAsia" w:ascii="仿宋_GB2312" w:hAnsi="仿宋" w:cs="仿宋"/>
          <w:bCs/>
          <w:sz w:val="28"/>
          <w:szCs w:val="28"/>
        </w:rPr>
        <w:t>满足谈判文件载明的符合性要求的。</w:t>
      </w:r>
    </w:p>
    <w:p>
      <w:pPr>
        <w:spacing w:line="580" w:lineRule="exact"/>
        <w:ind w:firstLine="560" w:firstLineChars="200"/>
        <w:rPr>
          <w:rFonts w:ascii="宋体" w:hAnsi="宋体"/>
          <w:sz w:val="28"/>
          <w:szCs w:val="28"/>
        </w:rPr>
      </w:pPr>
      <w:r>
        <w:rPr>
          <w:rFonts w:ascii="宋体" w:hAnsi="宋体"/>
          <w:bCs/>
          <w:sz w:val="28"/>
          <w:szCs w:val="28"/>
        </w:rPr>
        <w:t>37.3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）在谈判前开启报价文件并将有关信息泄露给其他报价供应商的；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）在报价前与报价供应商就采购项目进行实质性谈判的；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37.6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hint="eastAsia" w:ascii="宋体" w:hAnsi="宋体"/>
          <w:sz w:val="28"/>
          <w:szCs w:val="28"/>
        </w:rPr>
        <w:t>3</w:t>
      </w:r>
      <w:r>
        <w:rPr>
          <w:rFonts w:ascii="宋体" w:hAnsi="宋体"/>
          <w:sz w:val="28"/>
          <w:szCs w:val="28"/>
        </w:rPr>
        <w:t>7</w:t>
      </w:r>
      <w:r>
        <w:rPr>
          <w:rFonts w:hint="eastAsia" w:ascii="宋体" w:hAnsi="宋体"/>
          <w:sz w:val="28"/>
          <w:szCs w:val="28"/>
        </w:rPr>
        <w:t>.7谈判文件中明确的其他应当视为无效报价的情形。</w:t>
      </w:r>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38.通过资格性、符合性审查的特殊情形</w:t>
      </w:r>
    </w:p>
    <w:p>
      <w:pPr>
        <w:pStyle w:val="19"/>
        <w:spacing w:line="560" w:lineRule="exact"/>
        <w:ind w:firstLine="560"/>
        <w:rPr>
          <w:rFonts w:ascii="宋体" w:hAnsi="宋体"/>
          <w:sz w:val="28"/>
          <w:szCs w:val="28"/>
        </w:rPr>
      </w:pPr>
      <w:r>
        <w:rPr>
          <w:rFonts w:ascii="宋体" w:hAnsi="宋体"/>
          <w:sz w:val="28"/>
          <w:szCs w:val="28"/>
        </w:rPr>
        <w:t>38.1</w:t>
      </w:r>
      <w:r>
        <w:rPr>
          <w:rFonts w:hint="eastAsia" w:ascii="宋体" w:hAnsi="宋体"/>
          <w:sz w:val="28"/>
          <w:szCs w:val="28"/>
        </w:rPr>
        <w:t>报价文件有下列情形，但其他方面符合要求，应当认定通过资格性、符合性审查：</w:t>
      </w:r>
    </w:p>
    <w:p>
      <w:pPr>
        <w:pStyle w:val="19"/>
        <w:spacing w:line="560" w:lineRule="exact"/>
        <w:ind w:firstLine="56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（2）正副本数量齐全、密封完好，但未按照谈判文件要求进行分装或统装的；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（3）除谈判文件规定要求法定代表人或授权代表签字以外，其他未签字的；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（4）除谈判文件规定要求加盖报价供应商等公章以外，其他未盖章或加盖相关专用章的；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pStyle w:val="19"/>
        <w:spacing w:line="560" w:lineRule="exact"/>
        <w:ind w:firstLine="560"/>
        <w:rPr>
          <w:rFonts w:ascii="宋体" w:hAnsi="宋体"/>
          <w:sz w:val="28"/>
          <w:szCs w:val="28"/>
        </w:rPr>
      </w:pPr>
      <w:r>
        <w:rPr>
          <w:rFonts w:hint="eastAsia" w:ascii="宋体" w:hAnsi="宋体"/>
          <w:sz w:val="28"/>
          <w:szCs w:val="28"/>
        </w:rPr>
        <w:t>评审委员会、采购机构不得将谈判文件未明确的内容作为判定报价供应商无效报价的依据，但违反国家和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6"/>
        <w:adjustRightInd w:val="0"/>
        <w:snapToGrid w:val="0"/>
        <w:spacing w:line="560" w:lineRule="exact"/>
        <w:ind w:firstLine="560" w:firstLineChars="200"/>
        <w:rPr>
          <w:rFonts w:hint="default" w:ascii="黑体" w:hAnsi="黑体"/>
          <w:b w:val="0"/>
          <w:sz w:val="28"/>
          <w:szCs w:val="28"/>
        </w:rPr>
      </w:pPr>
      <w:bookmarkStart w:id="235" w:name="_Toc4875"/>
      <w:bookmarkStart w:id="236" w:name="_Toc30788"/>
      <w:bookmarkStart w:id="237" w:name="_Toc121216119"/>
      <w:bookmarkStart w:id="238" w:name="_Toc20568"/>
      <w:bookmarkStart w:id="239" w:name="_Toc24181"/>
      <w:r>
        <w:rPr>
          <w:rFonts w:ascii="黑体" w:hAnsi="黑体"/>
          <w:b w:val="0"/>
          <w:sz w:val="28"/>
          <w:szCs w:val="28"/>
        </w:rPr>
        <w:t>39.</w:t>
      </w:r>
      <w:bookmarkEnd w:id="235"/>
      <w:bookmarkEnd w:id="236"/>
      <w:bookmarkEnd w:id="237"/>
      <w:bookmarkEnd w:id="238"/>
      <w:bookmarkEnd w:id="239"/>
      <w:r>
        <w:rPr>
          <w:rFonts w:ascii="黑体" w:hAnsi="黑体"/>
          <w:b w:val="0"/>
          <w:sz w:val="28"/>
          <w:szCs w:val="28"/>
        </w:rPr>
        <w:t>终止竞争性谈判采购活动</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39.1有下列情形之一的，</w:t>
      </w:r>
      <w:r>
        <w:rPr>
          <w:rFonts w:hint="eastAsia" w:ascii="宋体" w:hAnsi="宋体"/>
          <w:bCs/>
          <w:sz w:val="28"/>
          <w:szCs w:val="28"/>
        </w:rPr>
        <w:t>应当终止竞争性谈判采购活动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报名参加或实质性响应报价供应商不足</w:t>
      </w:r>
      <w:r>
        <w:rPr>
          <w:rFonts w:ascii="宋体" w:hAnsi="宋体"/>
          <w:bCs/>
          <w:sz w:val="28"/>
          <w:szCs w:val="28"/>
        </w:rPr>
        <w:t>3家</w:t>
      </w:r>
      <w:r>
        <w:rPr>
          <w:rFonts w:hint="eastAsia" w:ascii="宋体" w:hAnsi="宋体"/>
          <w:bCs/>
          <w:sz w:val="28"/>
          <w:szCs w:val="28"/>
        </w:rPr>
        <w:t>的</w:t>
      </w:r>
      <w:r>
        <w:rPr>
          <w:rFonts w:ascii="宋体" w:hAnsi="宋体"/>
          <w:bCs/>
          <w:sz w:val="28"/>
          <w:szCs w:val="28"/>
        </w:rPr>
        <w:t>，</w:t>
      </w:r>
      <w:r>
        <w:rPr>
          <w:rFonts w:hint="eastAsia" w:ascii="宋体" w:hAnsi="宋体"/>
          <w:bCs/>
          <w:sz w:val="28"/>
          <w:szCs w:val="28"/>
        </w:rPr>
        <w:t>符合本章第</w:t>
      </w:r>
      <w:r>
        <w:rPr>
          <w:rFonts w:ascii="宋体" w:hAnsi="宋体"/>
          <w:bCs/>
          <w:sz w:val="28"/>
          <w:szCs w:val="28"/>
        </w:rPr>
        <w:t>41.1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2）出现影响采购公平公正的违法、违规行为的；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3）因重大变故，取消采购任务的</w:t>
      </w:r>
      <w:r>
        <w:rPr>
          <w:rFonts w:hint="eastAsia" w:ascii="宋体" w:hAnsi="宋体"/>
          <w:bCs/>
          <w:sz w:val="28"/>
          <w:szCs w:val="28"/>
        </w:rPr>
        <w:t>。</w:t>
      </w:r>
    </w:p>
    <w:p>
      <w:pPr>
        <w:pStyle w:val="6"/>
        <w:adjustRightInd w:val="0"/>
        <w:snapToGrid w:val="0"/>
        <w:spacing w:line="560" w:lineRule="exact"/>
        <w:ind w:firstLine="560" w:firstLineChars="200"/>
        <w:rPr>
          <w:rFonts w:hint="default" w:ascii="黑体" w:hAnsi="黑体"/>
          <w:b w:val="0"/>
          <w:sz w:val="28"/>
          <w:szCs w:val="28"/>
        </w:rPr>
      </w:pPr>
      <w:bookmarkStart w:id="240" w:name="_Toc21189"/>
      <w:bookmarkStart w:id="241" w:name="_Toc15536"/>
      <w:bookmarkStart w:id="242" w:name="_Toc28683"/>
      <w:bookmarkStart w:id="243" w:name="_Toc29718"/>
      <w:bookmarkStart w:id="244" w:name="_Toc121216120"/>
      <w:r>
        <w:rPr>
          <w:rFonts w:ascii="黑体" w:hAnsi="黑体"/>
          <w:b w:val="0"/>
          <w:sz w:val="28"/>
          <w:szCs w:val="28"/>
        </w:rPr>
        <w:t>40.终止评审</w:t>
      </w:r>
      <w:bookmarkEnd w:id="240"/>
      <w:bookmarkEnd w:id="241"/>
      <w:bookmarkEnd w:id="242"/>
      <w:bookmarkEnd w:id="243"/>
      <w:bookmarkEnd w:id="24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谈判文件存在重大歧义、缺陷，导致评审工作无法进行的；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谈判文件存在明显的倾向性、排他性或歧视性的；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谈判文件违反国家和军队强制性规定的；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tabs>
          <w:tab w:val="left" w:pos="0"/>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bookmarkEnd w:id="219"/>
    <w:bookmarkEnd w:id="220"/>
    <w:bookmarkEnd w:id="221"/>
    <w:bookmarkEnd w:id="222"/>
    <w:bookmarkEnd w:id="223"/>
    <w:bookmarkEnd w:id="224"/>
    <w:p>
      <w:pPr>
        <w:pStyle w:val="6"/>
        <w:adjustRightInd w:val="0"/>
        <w:snapToGrid w:val="0"/>
        <w:spacing w:line="560" w:lineRule="exact"/>
        <w:ind w:firstLine="560" w:firstLineChars="200"/>
        <w:rPr>
          <w:rFonts w:hint="default" w:ascii="黑体" w:hAnsi="黑体"/>
          <w:b w:val="0"/>
          <w:sz w:val="28"/>
          <w:szCs w:val="28"/>
        </w:rPr>
      </w:pPr>
      <w:bookmarkStart w:id="245" w:name="_Toc18007"/>
      <w:bookmarkStart w:id="246" w:name="_Toc24729"/>
      <w:bookmarkStart w:id="247" w:name="_Toc27475"/>
      <w:bookmarkStart w:id="248" w:name="_Toc112768420"/>
      <w:bookmarkStart w:id="249" w:name="_Toc28022"/>
      <w:bookmarkStart w:id="250" w:name="_Toc5728"/>
      <w:r>
        <w:rPr>
          <w:rFonts w:ascii="黑体" w:hAnsi="黑体"/>
          <w:b w:val="0"/>
          <w:sz w:val="28"/>
          <w:szCs w:val="28"/>
        </w:rPr>
        <w:t>41.</w:t>
      </w:r>
      <w:bookmarkStart w:id="251" w:name="_Hlk112698157"/>
      <w:r>
        <w:rPr>
          <w:rFonts w:ascii="黑体" w:hAnsi="黑体"/>
          <w:b w:val="0"/>
          <w:sz w:val="28"/>
          <w:szCs w:val="28"/>
        </w:rPr>
        <w:t>特殊情形的</w:t>
      </w:r>
      <w:bookmarkEnd w:id="251"/>
      <w:r>
        <w:rPr>
          <w:rFonts w:ascii="黑体" w:hAnsi="黑体"/>
          <w:b w:val="0"/>
          <w:sz w:val="28"/>
          <w:szCs w:val="28"/>
        </w:rPr>
        <w:t>处理规定</w:t>
      </w:r>
      <w:bookmarkEnd w:id="245"/>
      <w:bookmarkEnd w:id="246"/>
      <w:bookmarkEnd w:id="247"/>
      <w:bookmarkEnd w:id="248"/>
      <w:bookmarkEnd w:id="249"/>
      <w:bookmarkEnd w:id="25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响应的项目，评审委员会认为谈判文件无倾向性或排他性条款，供应商选择程序合规的，由采购机构报上级采购管理部门批准，并经采购单位同意后，按照原评审方法和评审标准继续组织评审。</w:t>
      </w:r>
    </w:p>
    <w:p>
      <w:pPr>
        <w:tabs>
          <w:tab w:val="left" w:pos="1020"/>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41.2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41.1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252" w:name="_Toc112317773"/>
      <w:bookmarkStart w:id="253" w:name="_Toc19999"/>
      <w:bookmarkStart w:id="254" w:name="_Toc32618"/>
      <w:bookmarkStart w:id="255" w:name="_Toc112768425"/>
      <w:bookmarkStart w:id="256" w:name="_Toc32389"/>
      <w:bookmarkStart w:id="257" w:name="_Toc150421214"/>
      <w:bookmarkStart w:id="258" w:name="_Toc21751"/>
      <w:bookmarkStart w:id="259" w:name="_Toc26655"/>
      <w:bookmarkStart w:id="260" w:name="_Toc152058257"/>
      <w:r>
        <w:rPr>
          <w:rFonts w:hint="eastAsia"/>
          <w:b w:val="0"/>
        </w:rPr>
        <w:t>六、成交</w:t>
      </w:r>
      <w:bookmarkEnd w:id="252"/>
      <w:bookmarkEnd w:id="253"/>
      <w:bookmarkEnd w:id="254"/>
      <w:bookmarkEnd w:id="255"/>
      <w:bookmarkEnd w:id="256"/>
      <w:bookmarkEnd w:id="257"/>
      <w:bookmarkEnd w:id="258"/>
      <w:bookmarkEnd w:id="259"/>
      <w:bookmarkEnd w:id="260"/>
    </w:p>
    <w:p>
      <w:pPr>
        <w:pStyle w:val="6"/>
        <w:adjustRightInd w:val="0"/>
        <w:snapToGrid w:val="0"/>
        <w:spacing w:line="560" w:lineRule="exact"/>
        <w:ind w:firstLine="560" w:firstLineChars="200"/>
        <w:rPr>
          <w:rFonts w:hint="default" w:ascii="黑体" w:hAnsi="黑体"/>
          <w:b w:val="0"/>
          <w:sz w:val="28"/>
          <w:szCs w:val="28"/>
        </w:rPr>
      </w:pPr>
      <w:bookmarkStart w:id="261" w:name="_Toc12975"/>
      <w:bookmarkStart w:id="262" w:name="_Toc3301"/>
      <w:bookmarkStart w:id="263" w:name="_Toc112768426"/>
      <w:bookmarkStart w:id="264" w:name="_Toc3866"/>
      <w:bookmarkStart w:id="265" w:name="_Toc8158"/>
      <w:bookmarkStart w:id="266" w:name="_Toc26950"/>
      <w:r>
        <w:rPr>
          <w:rFonts w:ascii="黑体" w:hAnsi="黑体"/>
          <w:b w:val="0"/>
          <w:sz w:val="28"/>
          <w:szCs w:val="28"/>
        </w:rPr>
        <w:t>42.成交供应商公示</w:t>
      </w:r>
      <w:bookmarkEnd w:id="261"/>
      <w:bookmarkEnd w:id="262"/>
      <w:bookmarkEnd w:id="263"/>
      <w:bookmarkEnd w:id="264"/>
      <w:bookmarkEnd w:id="265"/>
      <w:bookmarkEnd w:id="266"/>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42.1评审结束后2个工作日内，采购机构在</w:t>
      </w:r>
      <w:r>
        <w:rPr>
          <w:rFonts w:hint="eastAsia" w:ascii="宋体" w:hAnsi="宋体"/>
          <w:bCs/>
          <w:sz w:val="28"/>
          <w:szCs w:val="28"/>
        </w:rPr>
        <w:t>大学官</w:t>
      </w:r>
      <w:r>
        <w:rPr>
          <w:rFonts w:ascii="宋体" w:hAnsi="宋体"/>
          <w:bCs/>
          <w:sz w:val="28"/>
          <w:szCs w:val="28"/>
        </w:rPr>
        <w:t>网（</w:t>
      </w:r>
      <w:r>
        <w:rPr>
          <w:rFonts w:ascii="Times New Roman" w:hAnsi="Times New Roman" w:cs="Times New Roman"/>
          <w:bCs/>
          <w:sz w:val="28"/>
          <w:szCs w:val="28"/>
        </w:rPr>
        <w:t>https://www.tmmu.edu.cn.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采购机构将评审结果报采购单位；有异议的，报价供应商可以依据谈判文件规定的方式提出质疑。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成交</w:t>
      </w:r>
      <w:r>
        <w:rPr>
          <w:rFonts w:ascii="宋体" w:hAnsi="宋体"/>
          <w:bCs/>
          <w:sz w:val="28"/>
          <w:szCs w:val="28"/>
        </w:rPr>
        <w:t>供应商无正当理由放弃成交的，不予退还谈判保证金，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（1）属于谈判文件规定的虚假报价的；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（4）属于谈判文件规定的无效报价情形，但在评审过程中未被评审委员会发现的；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（5）属于谈判文件规定的串通报价的；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名结果依次递补确定成交供应商，但剩余有效报价供应商数量应当达到需要递补报价供应商数量的2倍，否则由采购机构重新组织采购。</w:t>
      </w:r>
    </w:p>
    <w:p>
      <w:pPr>
        <w:pStyle w:val="6"/>
        <w:adjustRightInd w:val="0"/>
        <w:snapToGrid w:val="0"/>
        <w:spacing w:line="560" w:lineRule="exact"/>
        <w:ind w:firstLine="560" w:firstLineChars="200"/>
        <w:rPr>
          <w:rFonts w:hint="default" w:ascii="黑体" w:hAnsi="黑体"/>
          <w:b w:val="0"/>
          <w:sz w:val="28"/>
          <w:szCs w:val="28"/>
        </w:rPr>
      </w:pPr>
      <w:bookmarkStart w:id="267" w:name="_Toc22523"/>
      <w:bookmarkStart w:id="268" w:name="_Toc21704"/>
      <w:bookmarkStart w:id="269" w:name="_Toc112768427"/>
      <w:bookmarkStart w:id="270" w:name="_Toc15845"/>
      <w:bookmarkStart w:id="271" w:name="_Toc13364"/>
      <w:bookmarkStart w:id="272" w:name="_Toc5791"/>
      <w:r>
        <w:rPr>
          <w:rFonts w:ascii="黑体" w:hAnsi="黑体"/>
          <w:b w:val="0"/>
          <w:sz w:val="28"/>
          <w:szCs w:val="28"/>
        </w:rPr>
        <w:t>43.成交通知</w:t>
      </w:r>
      <w:bookmarkEnd w:id="267"/>
      <w:bookmarkEnd w:id="268"/>
      <w:bookmarkEnd w:id="269"/>
      <w:bookmarkEnd w:id="270"/>
      <w:bookmarkEnd w:id="271"/>
      <w:bookmarkEnd w:id="27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43.1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5"/>
        <w:keepNext w:val="0"/>
        <w:keepLines w:val="0"/>
        <w:adjustRightInd w:val="0"/>
        <w:snapToGrid w:val="0"/>
        <w:spacing w:before="120" w:beforeLines="50" w:after="120" w:afterLines="50" w:line="560" w:lineRule="exact"/>
        <w:jc w:val="center"/>
        <w:rPr>
          <w:b w:val="0"/>
        </w:rPr>
      </w:pPr>
      <w:bookmarkStart w:id="273" w:name="_Toc152058258"/>
      <w:bookmarkStart w:id="274" w:name="_Toc150421215"/>
      <w:bookmarkStart w:id="275" w:name="_Toc112317774"/>
      <w:bookmarkStart w:id="276" w:name="_Toc15545"/>
      <w:bookmarkStart w:id="277" w:name="_Toc112768428"/>
      <w:bookmarkStart w:id="278" w:name="_Toc1444"/>
      <w:bookmarkStart w:id="279" w:name="_Toc24236"/>
      <w:bookmarkStart w:id="280" w:name="_Toc1745"/>
      <w:bookmarkStart w:id="281" w:name="_Toc31814"/>
      <w:r>
        <w:rPr>
          <w:rFonts w:hint="eastAsia"/>
          <w:b w:val="0"/>
        </w:rPr>
        <w:t>七、质疑、投诉和投诉复议</w:t>
      </w:r>
      <w:bookmarkEnd w:id="273"/>
      <w:bookmarkEnd w:id="274"/>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44.质疑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44.1供应商认为</w:t>
      </w:r>
      <w:r>
        <w:rPr>
          <w:rFonts w:hint="eastAsia" w:ascii="宋体" w:hAnsi="宋体"/>
          <w:bCs/>
          <w:sz w:val="28"/>
          <w:szCs w:val="28"/>
        </w:rPr>
        <w:t>谈判文件、谈判过程、成交结果使自己权益受到损害的，以书面形式向采购机构提出质疑。供应商应当在规定质疑期内一次性提出针对同一采购程序环节的质疑。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领取谈判文件的供应商，</w:t>
      </w:r>
      <w:r>
        <w:rPr>
          <w:rFonts w:ascii="宋体" w:hAnsi="宋体"/>
          <w:bCs/>
          <w:sz w:val="28"/>
          <w:szCs w:val="28"/>
        </w:rPr>
        <w:t>对谈判文件的</w:t>
      </w:r>
      <w:r>
        <w:rPr>
          <w:rFonts w:hint="eastAsia" w:ascii="宋体" w:hAnsi="宋体"/>
          <w:bCs/>
          <w:sz w:val="28"/>
          <w:szCs w:val="28"/>
        </w:rPr>
        <w:t>质疑应当</w:t>
      </w:r>
      <w:r>
        <w:rPr>
          <w:rFonts w:ascii="宋体" w:hAnsi="宋体"/>
          <w:bCs/>
          <w:sz w:val="28"/>
          <w:szCs w:val="28"/>
        </w:rPr>
        <w:t>在</w:t>
      </w:r>
      <w:r>
        <w:rPr>
          <w:rFonts w:hint="eastAsia" w:ascii="宋体" w:hAnsi="宋体"/>
          <w:bCs/>
          <w:sz w:val="28"/>
          <w:szCs w:val="28"/>
        </w:rPr>
        <w:t>申领谈判文件之日起3</w:t>
      </w:r>
      <w:r>
        <w:rPr>
          <w:rFonts w:ascii="宋体" w:hAnsi="宋体"/>
          <w:bCs/>
          <w:sz w:val="28"/>
          <w:szCs w:val="28"/>
        </w:rPr>
        <w:t>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对谈判过程提出质疑的，应当在各采购程序环节结束之日起3日内提出</w:t>
      </w:r>
      <w:r>
        <w:rPr>
          <w:rFonts w:hint="eastAsia" w:ascii="宋体" w:hAnsi="宋体"/>
          <w:bCs/>
          <w:sz w:val="28"/>
          <w:szCs w:val="28"/>
        </w:rPr>
        <w:t>。</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44.2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谈判文件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w:t>
      </w:r>
      <w:r>
        <w:rPr>
          <w:rFonts w:hint="eastAsia"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44.3</w:t>
      </w:r>
      <w:r>
        <w:rPr>
          <w:rFonts w:hint="eastAsia" w:ascii="宋体" w:hAnsi="宋体"/>
          <w:bCs/>
          <w:sz w:val="28"/>
          <w:szCs w:val="28"/>
        </w:rPr>
        <w:t>质疑函应当由法定代表人或其授权代表签字，并加盖公章。授权代表应当提供由法定代表人签署的授权书，载明被授权人的姓名、职务、授权范围和时间期限，并加盖公章。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44.4质疑</w:t>
      </w:r>
      <w:r>
        <w:rPr>
          <w:rFonts w:hint="eastAsia" w:ascii="宋体" w:hAnsi="宋体"/>
          <w:bCs/>
          <w:sz w:val="28"/>
          <w:szCs w:val="28"/>
        </w:rPr>
        <w:t>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45.投诉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45.1质疑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作出</w:t>
      </w:r>
      <w:r>
        <w:rPr>
          <w:rFonts w:ascii="宋体" w:hAnsi="宋体"/>
          <w:bCs/>
          <w:sz w:val="28"/>
          <w:szCs w:val="28"/>
        </w:rPr>
        <w:t>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45.2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8"/>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（1）</w:t>
      </w:r>
      <w:r>
        <w:rPr>
          <w:rFonts w:hint="eastAsia" w:ascii="仿宋_GB2312" w:hAnsi="宋体" w:cs="宋体"/>
          <w:bCs/>
          <w:sz w:val="28"/>
          <w:szCs w:val="36"/>
        </w:rPr>
        <w:t>投诉人和被投诉人的名称、通讯地址、邮编、联系人及联系电话；</w:t>
      </w:r>
    </w:p>
    <w:p>
      <w:pPr>
        <w:pStyle w:val="8"/>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（2）</w:t>
      </w:r>
      <w:r>
        <w:rPr>
          <w:rFonts w:hint="eastAsia" w:ascii="仿宋_GB2312" w:hAnsi="宋体" w:cs="宋体"/>
          <w:bCs/>
          <w:sz w:val="28"/>
          <w:szCs w:val="36"/>
        </w:rPr>
        <w:t>质疑和质疑答复情况说明及相关证明材料；</w:t>
      </w:r>
    </w:p>
    <w:p>
      <w:pPr>
        <w:pStyle w:val="8"/>
        <w:adjustRightInd w:val="0"/>
        <w:snapToGrid w:val="0"/>
        <w:spacing w:line="560" w:lineRule="exact"/>
        <w:ind w:firstLine="560" w:firstLineChars="200"/>
        <w:rPr>
          <w:rFonts w:cs="宋体" w:asciiTheme="minorEastAsia" w:hAnsiTheme="minorEastAsia" w:eastAsiaTheme="minorEastAsia"/>
          <w:bCs/>
          <w:sz w:val="28"/>
          <w:szCs w:val="36"/>
        </w:rPr>
      </w:pPr>
      <w:r>
        <w:rPr>
          <w:rFonts w:hint="eastAsia" w:cs="宋体" w:asciiTheme="minorEastAsia" w:hAnsiTheme="minorEastAsia" w:eastAsiaTheme="minorEastAsia"/>
          <w:bCs/>
          <w:sz w:val="28"/>
          <w:szCs w:val="36"/>
        </w:rPr>
        <w:t>（3）具体、明确的投诉事项和与投诉事项相关的投诉请求；</w:t>
      </w:r>
    </w:p>
    <w:p>
      <w:pPr>
        <w:pStyle w:val="8"/>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（4）</w:t>
      </w:r>
      <w:r>
        <w:rPr>
          <w:rFonts w:hint="eastAsia" w:ascii="仿宋_GB2312" w:hAnsi="宋体" w:cs="宋体"/>
          <w:bCs/>
          <w:sz w:val="28"/>
          <w:szCs w:val="36"/>
        </w:rPr>
        <w:t>事实依据；</w:t>
      </w:r>
    </w:p>
    <w:p>
      <w:pPr>
        <w:pStyle w:val="8"/>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（5）</w:t>
      </w:r>
      <w:r>
        <w:rPr>
          <w:rFonts w:hint="eastAsia" w:ascii="仿宋_GB2312" w:hAnsi="宋体" w:cs="宋体"/>
          <w:bCs/>
          <w:sz w:val="28"/>
          <w:szCs w:val="36"/>
        </w:rPr>
        <w:t>法律依据；</w:t>
      </w:r>
    </w:p>
    <w:p>
      <w:pPr>
        <w:pStyle w:val="8"/>
        <w:adjustRightInd w:val="0"/>
        <w:snapToGrid w:val="0"/>
        <w:spacing w:line="560" w:lineRule="exact"/>
        <w:ind w:firstLine="560" w:firstLineChars="200"/>
        <w:rPr>
          <w:rFonts w:ascii="仿宋_GB2312" w:hAnsi="宋体" w:cs="宋体"/>
          <w:bCs/>
          <w:sz w:val="28"/>
          <w:szCs w:val="36"/>
        </w:rPr>
      </w:pPr>
      <w:r>
        <w:rPr>
          <w:rFonts w:hint="eastAsia" w:hAnsi="宋体"/>
          <w:bCs/>
          <w:sz w:val="28"/>
          <w:szCs w:val="28"/>
        </w:rPr>
        <w:t>（6）</w:t>
      </w:r>
      <w:r>
        <w:rPr>
          <w:rFonts w:hint="eastAsia" w:ascii="仿宋_GB2312" w:hAnsi="宋体" w:cs="宋体"/>
          <w:bCs/>
          <w:sz w:val="28"/>
          <w:szCs w:val="36"/>
        </w:rPr>
        <w:t>提起投诉的日期。</w:t>
      </w:r>
    </w:p>
    <w:p>
      <w:pPr>
        <w:pStyle w:val="8"/>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45.3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45.4受理、处理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adjustRightInd w:val="0"/>
        <w:snapToGrid w:val="0"/>
        <w:spacing w:line="560" w:lineRule="exact"/>
        <w:ind w:firstLine="560" w:firstLineChars="200"/>
        <w:rPr>
          <w:rFonts w:hint="default" w:ascii="黑体" w:hAnsi="黑体"/>
          <w:b w:val="0"/>
          <w:sz w:val="28"/>
          <w:szCs w:val="28"/>
        </w:rPr>
      </w:pPr>
      <w:r>
        <w:rPr>
          <w:rFonts w:ascii="黑体" w:hAnsi="黑体"/>
          <w:b w:val="0"/>
          <w:sz w:val="28"/>
          <w:szCs w:val="28"/>
        </w:rPr>
        <w:t>46.投诉复议</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46.1</w:t>
      </w:r>
      <w:r>
        <w:rPr>
          <w:rFonts w:hint="eastAsia" w:ascii="仿宋_GB2312" w:hAnsi="宋体" w:cs="宋体"/>
          <w:bCs/>
          <w:sz w:val="28"/>
          <w:szCs w:val="36"/>
        </w:rPr>
        <w:t>投诉人对投诉受理部门的投诉处理决定不服或投诉受理部门逾期未作处理的，可以自收到投诉处理决定书</w:t>
      </w:r>
      <w:r>
        <w:rPr>
          <w:rFonts w:ascii="宋体" w:hAnsi="宋体"/>
          <w:bCs/>
          <w:sz w:val="28"/>
          <w:szCs w:val="28"/>
        </w:rPr>
        <w:t>15个工作日内，</w:t>
      </w:r>
      <w:r>
        <w:rPr>
          <w:rFonts w:hint="eastAsia" w:ascii="仿宋_GB2312" w:hAnsi="宋体" w:cs="宋体"/>
          <w:bCs/>
          <w:sz w:val="28"/>
          <w:szCs w:val="36"/>
        </w:rPr>
        <w:t>提出投诉复议申请。</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46.2</w:t>
      </w:r>
      <w:r>
        <w:rPr>
          <w:rFonts w:hint="eastAsia" w:ascii="仿宋_GB2312" w:hAnsi="宋体" w:cs="宋体"/>
          <w:bCs/>
          <w:sz w:val="28"/>
          <w:szCs w:val="36"/>
        </w:rPr>
        <w:t>投诉复议申请人应当提交投诉复议申请书和必要的证明材料，并按照被申请人和与复议事项有关当事人数量提供申请书副本。投诉复议申请书应当包括下列内容：</w:t>
      </w:r>
    </w:p>
    <w:p>
      <w:pPr>
        <w:pStyle w:val="8"/>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8"/>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2）</w:t>
      </w:r>
      <w:r>
        <w:rPr>
          <w:rFonts w:hint="eastAsia" w:ascii="Times New Roman" w:hAnsi="Times New Roman"/>
          <w:bCs/>
          <w:kern w:val="0"/>
          <w:sz w:val="28"/>
          <w:szCs w:val="36"/>
        </w:rPr>
        <w:t>投诉和投诉处理决定情况说明及相关证明材料；</w:t>
      </w:r>
    </w:p>
    <w:p>
      <w:pPr>
        <w:pStyle w:val="8"/>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3）</w:t>
      </w:r>
      <w:r>
        <w:rPr>
          <w:rFonts w:hint="eastAsia" w:ascii="Times New Roman" w:hAnsi="Times New Roman"/>
          <w:bCs/>
          <w:kern w:val="0"/>
          <w:sz w:val="28"/>
          <w:szCs w:val="36"/>
        </w:rPr>
        <w:t>具体、明确的复议事项和与复议事项相关的请求；</w:t>
      </w:r>
    </w:p>
    <w:p>
      <w:pPr>
        <w:pStyle w:val="8"/>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4）</w:t>
      </w:r>
      <w:r>
        <w:rPr>
          <w:rFonts w:hint="eastAsia" w:ascii="Times New Roman" w:hAnsi="Times New Roman"/>
          <w:bCs/>
          <w:kern w:val="0"/>
          <w:sz w:val="28"/>
          <w:szCs w:val="36"/>
        </w:rPr>
        <w:t>事实依据；</w:t>
      </w:r>
    </w:p>
    <w:p>
      <w:pPr>
        <w:pStyle w:val="8"/>
        <w:adjustRightInd w:val="0"/>
        <w:snapToGrid w:val="0"/>
        <w:spacing w:line="560" w:lineRule="exact"/>
        <w:ind w:firstLine="560" w:firstLineChars="200"/>
        <w:rPr>
          <w:rFonts w:ascii="Times New Roman" w:hAnsi="Times New Roman"/>
          <w:bCs/>
          <w:kern w:val="0"/>
          <w:sz w:val="28"/>
          <w:szCs w:val="36"/>
        </w:rPr>
      </w:pPr>
      <w:r>
        <w:rPr>
          <w:rFonts w:hint="eastAsia" w:ascii="Times New Roman" w:hAnsi="Times New Roman"/>
          <w:bCs/>
          <w:kern w:val="0"/>
          <w:sz w:val="28"/>
          <w:szCs w:val="36"/>
        </w:rPr>
        <w:t>（</w:t>
      </w:r>
      <w:r>
        <w:rPr>
          <w:rFonts w:asciiTheme="minorEastAsia" w:hAnsiTheme="minorEastAsia" w:eastAsiaTheme="minorEastAsia"/>
          <w:bCs/>
          <w:kern w:val="0"/>
          <w:sz w:val="28"/>
          <w:szCs w:val="36"/>
        </w:rPr>
        <w:t>5</w:t>
      </w:r>
      <w:r>
        <w:rPr>
          <w:rFonts w:hint="eastAsia" w:ascii="Times New Roman" w:hAnsi="Times New Roman"/>
          <w:bCs/>
          <w:kern w:val="0"/>
          <w:sz w:val="28"/>
          <w:szCs w:val="36"/>
        </w:rPr>
        <w:t>）法律依据；</w:t>
      </w:r>
    </w:p>
    <w:p>
      <w:pPr>
        <w:pStyle w:val="8"/>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6）</w:t>
      </w:r>
      <w:r>
        <w:rPr>
          <w:rFonts w:hint="eastAsia" w:ascii="Times New Roman" w:hAnsi="Times New Roman"/>
          <w:bCs/>
          <w:kern w:val="0"/>
          <w:sz w:val="28"/>
          <w:szCs w:val="36"/>
        </w:rPr>
        <w:t>申请</w:t>
      </w:r>
      <w:r>
        <w:rPr>
          <w:rFonts w:hint="eastAsia" w:ascii="仿宋_GB2312" w:hAnsi="宋体" w:cs="宋体"/>
          <w:bCs/>
          <w:sz w:val="28"/>
          <w:szCs w:val="36"/>
        </w:rPr>
        <w:t>投诉</w:t>
      </w:r>
      <w:r>
        <w:rPr>
          <w:rFonts w:hint="eastAsia" w:ascii="Times New Roman" w:hAnsi="Times New Roman"/>
          <w:bCs/>
          <w:kern w:val="0"/>
          <w:sz w:val="28"/>
          <w:szCs w:val="36"/>
        </w:rPr>
        <w:t>复议的日期。</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46.3</w:t>
      </w:r>
      <w:r>
        <w:rPr>
          <w:rFonts w:hint="eastAsia" w:ascii="宋体"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tabs>
          <w:tab w:val="left" w:pos="562"/>
          <w:tab w:val="left" w:pos="1129"/>
        </w:tabs>
        <w:adjustRightInd w:val="0"/>
        <w:snapToGrid w:val="0"/>
        <w:spacing w:line="560" w:lineRule="exact"/>
        <w:ind w:firstLine="560" w:firstLineChars="200"/>
        <w:rPr>
          <w:rFonts w:ascii="宋体" w:hAnsi="宋体"/>
          <w:b/>
          <w:sz w:val="28"/>
          <w:szCs w:val="28"/>
        </w:rPr>
      </w:pPr>
      <w:r>
        <w:rPr>
          <w:rFonts w:ascii="宋体" w:hAnsi="宋体"/>
          <w:bCs/>
          <w:sz w:val="28"/>
          <w:szCs w:val="28"/>
        </w:rPr>
        <w:t>46.4</w:t>
      </w:r>
      <w:r>
        <w:rPr>
          <w:rFonts w:hint="eastAsia" w:ascii="宋体" w:hAnsi="宋体"/>
          <w:bCs/>
          <w:sz w:val="28"/>
          <w:szCs w:val="28"/>
        </w:rPr>
        <w:t>受理、处理投诉复议申请部门及联系方式见【报价供应商须知前附表】。</w:t>
      </w:r>
    </w:p>
    <w:p>
      <w:pPr>
        <w:pStyle w:val="5"/>
        <w:keepNext w:val="0"/>
        <w:keepLines w:val="0"/>
        <w:adjustRightInd w:val="0"/>
        <w:snapToGrid w:val="0"/>
        <w:spacing w:before="120" w:beforeLines="50" w:after="120" w:afterLines="50" w:line="560" w:lineRule="exact"/>
        <w:jc w:val="center"/>
        <w:rPr>
          <w:b w:val="0"/>
        </w:rPr>
      </w:pPr>
      <w:bookmarkStart w:id="282" w:name="_Toc150421216"/>
      <w:bookmarkStart w:id="283" w:name="_Toc152058259"/>
      <w:r>
        <w:rPr>
          <w:rFonts w:hint="eastAsia"/>
          <w:b w:val="0"/>
        </w:rPr>
        <w:t>八、签订合同</w:t>
      </w:r>
      <w:bookmarkEnd w:id="275"/>
      <w:bookmarkEnd w:id="276"/>
      <w:bookmarkEnd w:id="277"/>
      <w:bookmarkEnd w:id="278"/>
      <w:bookmarkEnd w:id="279"/>
      <w:bookmarkEnd w:id="280"/>
      <w:bookmarkEnd w:id="281"/>
      <w:bookmarkEnd w:id="282"/>
      <w:bookmarkEnd w:id="283"/>
    </w:p>
    <w:p>
      <w:pPr>
        <w:pStyle w:val="6"/>
        <w:adjustRightInd w:val="0"/>
        <w:snapToGrid w:val="0"/>
        <w:spacing w:line="560" w:lineRule="exact"/>
        <w:ind w:firstLine="560" w:firstLineChars="200"/>
        <w:rPr>
          <w:rFonts w:hint="default" w:ascii="黑体" w:hAnsi="黑体"/>
          <w:b w:val="0"/>
          <w:sz w:val="28"/>
          <w:szCs w:val="28"/>
        </w:rPr>
      </w:pPr>
      <w:bookmarkStart w:id="284" w:name="_Toc10720"/>
      <w:bookmarkStart w:id="285" w:name="_Toc112768429"/>
      <w:bookmarkStart w:id="286" w:name="_Toc1893"/>
      <w:bookmarkStart w:id="287" w:name="_Toc17606"/>
      <w:bookmarkStart w:id="288" w:name="_Toc9269"/>
      <w:bookmarkStart w:id="289" w:name="_Toc14604"/>
      <w:r>
        <w:rPr>
          <w:rFonts w:ascii="黑体" w:hAnsi="黑体"/>
          <w:b w:val="0"/>
          <w:sz w:val="28"/>
          <w:szCs w:val="28"/>
        </w:rPr>
        <w:t>47.签订合同</w:t>
      </w:r>
      <w:bookmarkEnd w:id="284"/>
      <w:bookmarkEnd w:id="285"/>
      <w:bookmarkEnd w:id="286"/>
      <w:bookmarkEnd w:id="287"/>
      <w:bookmarkEnd w:id="288"/>
      <w:bookmarkEnd w:id="289"/>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47.1成交供应商在采购机构发出《成交通知书》之日起30日内，</w:t>
      </w:r>
      <w:r>
        <w:rPr>
          <w:rFonts w:hint="eastAsia" w:ascii="宋体" w:hAnsi="宋体"/>
          <w:bCs/>
          <w:sz w:val="28"/>
          <w:szCs w:val="28"/>
        </w:rPr>
        <w:t>依据谈判文件、成交供应商报价文件和澄清承诺，与采购单位签订采购合同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47.2采购合同不得对谈判文件和成交供应商报价文件作实质性修改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谈判文件、成交供应商报价文件、补充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47.3签订合同后，成交供应商不得将成交项目</w:t>
      </w:r>
      <w:r>
        <w:rPr>
          <w:rFonts w:hint="eastAsia" w:ascii="宋体" w:hAnsi="宋体"/>
          <w:bCs/>
          <w:sz w:val="28"/>
          <w:szCs w:val="28"/>
        </w:rPr>
        <w:t>整体转包或将项目拆分后分别向他人转包，不得违反谈判文件、报价文件和合同约定，擅自将合同分包，一经查实将按有关规定进行严肃处理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7</w:t>
      </w:r>
      <w:r>
        <w:rPr>
          <w:rFonts w:hint="eastAsia" w:ascii="宋体" w:hAnsi="宋体"/>
          <w:bCs/>
          <w:sz w:val="28"/>
          <w:szCs w:val="28"/>
        </w:rPr>
        <w:t>.4未经甲方允许，乙方不得在合同未生效前履行合同相关义务。</w:t>
      </w:r>
    </w:p>
    <w:p>
      <w:pPr>
        <w:pStyle w:val="5"/>
        <w:keepNext w:val="0"/>
        <w:keepLines w:val="0"/>
        <w:adjustRightInd w:val="0"/>
        <w:snapToGrid w:val="0"/>
        <w:spacing w:before="120" w:beforeLines="50" w:after="120" w:afterLines="50" w:line="560" w:lineRule="exact"/>
        <w:ind w:firstLine="640" w:firstLineChars="200"/>
        <w:jc w:val="center"/>
        <w:rPr>
          <w:b w:val="0"/>
        </w:rPr>
      </w:pPr>
      <w:bookmarkStart w:id="290" w:name="_Toc15781"/>
      <w:bookmarkStart w:id="291" w:name="_Toc19994"/>
      <w:bookmarkStart w:id="292" w:name="_Toc152058260"/>
      <w:bookmarkStart w:id="293" w:name="_Toc112317776"/>
      <w:bookmarkStart w:id="294" w:name="_Toc9361"/>
      <w:bookmarkStart w:id="295" w:name="_Toc1141"/>
      <w:bookmarkStart w:id="296" w:name="_Toc10716"/>
      <w:bookmarkStart w:id="297" w:name="_Toc112768430"/>
      <w:bookmarkStart w:id="298" w:name="_Toc150421217"/>
      <w:r>
        <w:rPr>
          <w:rFonts w:hint="eastAsia"/>
          <w:b w:val="0"/>
        </w:rPr>
        <w:t>九、解释权限</w:t>
      </w:r>
      <w:bookmarkEnd w:id="290"/>
      <w:bookmarkEnd w:id="291"/>
      <w:bookmarkEnd w:id="292"/>
      <w:bookmarkEnd w:id="293"/>
      <w:bookmarkEnd w:id="294"/>
      <w:bookmarkEnd w:id="295"/>
      <w:bookmarkEnd w:id="296"/>
      <w:bookmarkEnd w:id="297"/>
      <w:bookmarkEnd w:id="298"/>
    </w:p>
    <w:p>
      <w:pPr>
        <w:pStyle w:val="6"/>
        <w:adjustRightInd w:val="0"/>
        <w:snapToGrid w:val="0"/>
        <w:spacing w:line="560" w:lineRule="exact"/>
        <w:ind w:firstLine="560" w:firstLineChars="200"/>
        <w:rPr>
          <w:rFonts w:hint="default" w:ascii="黑体" w:hAnsi="黑体"/>
          <w:b w:val="0"/>
          <w:sz w:val="28"/>
          <w:szCs w:val="28"/>
        </w:rPr>
      </w:pPr>
      <w:bookmarkStart w:id="299" w:name="_Toc20741"/>
      <w:bookmarkStart w:id="300" w:name="_Toc3720"/>
      <w:bookmarkStart w:id="301" w:name="_Toc112768431"/>
      <w:bookmarkStart w:id="302" w:name="_Toc27241"/>
      <w:bookmarkStart w:id="303" w:name="_Toc7554"/>
      <w:bookmarkStart w:id="304" w:name="_Toc11275"/>
      <w:r>
        <w:rPr>
          <w:rFonts w:ascii="黑体" w:hAnsi="黑体"/>
          <w:b w:val="0"/>
          <w:sz w:val="28"/>
          <w:szCs w:val="28"/>
        </w:rPr>
        <w:t>48.解释权限</w:t>
      </w:r>
      <w:bookmarkEnd w:id="299"/>
      <w:bookmarkEnd w:id="300"/>
      <w:bookmarkEnd w:id="301"/>
      <w:bookmarkEnd w:id="302"/>
      <w:bookmarkEnd w:id="303"/>
      <w:bookmarkEnd w:id="304"/>
    </w:p>
    <w:p>
      <w:pPr>
        <w:adjustRightInd w:val="0"/>
        <w:snapToGrid w:val="0"/>
        <w:spacing w:line="560" w:lineRule="exact"/>
        <w:ind w:firstLine="560" w:firstLineChars="200"/>
        <w:rPr>
          <w:rFonts w:hAnsi="宋体"/>
          <w:bCs/>
          <w:sz w:val="32"/>
          <w:szCs w:val="32"/>
        </w:rPr>
      </w:pPr>
      <w:r>
        <w:rPr>
          <w:rFonts w:ascii="宋体" w:hAnsi="宋体"/>
          <w:bCs/>
          <w:sz w:val="28"/>
          <w:szCs w:val="28"/>
        </w:rPr>
        <w:t>48.1</w:t>
      </w:r>
      <w:r>
        <w:rPr>
          <w:rFonts w:hint="eastAsia"/>
          <w:bCs/>
          <w:sz w:val="28"/>
          <w:szCs w:val="28"/>
        </w:rPr>
        <w:t>本谈判文件由采购机构负责解释。</w:t>
      </w:r>
    </w:p>
    <w:p>
      <w:pPr>
        <w:widowControl/>
        <w:ind w:firstLine="420" w:firstLineChars="200"/>
        <w:jc w:val="left"/>
        <w:rPr>
          <w:rFonts w:ascii="黑体" w:hAnsi="黑体" w:cs="黑体"/>
          <w:sz w:val="28"/>
          <w:szCs w:val="28"/>
        </w:rPr>
      </w:pPr>
      <w:r>
        <w:rPr>
          <w:bCs/>
        </w:rPr>
        <w:br w:type="page"/>
      </w:r>
      <w:bookmarkStart w:id="305" w:name="_Toc150421218"/>
      <w:bookmarkStart w:id="306" w:name="_Toc152058261"/>
      <w:bookmarkStart w:id="307" w:name="_Toc3131"/>
      <w:bookmarkStart w:id="308" w:name="_Toc2614"/>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3"/>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1574"/>
        <w:gridCol w:w="40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rPr>
              <w:t>谈判报价相关事项</w:t>
            </w:r>
          </w:p>
        </w:tc>
        <w:tc>
          <w:tcPr>
            <w:tcW w:w="5580" w:type="dxa"/>
            <w:gridSpan w:val="2"/>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cs="宋体"/>
                <w:sz w:val="24"/>
              </w:rPr>
              <w:t>详见竞争性</w:t>
            </w:r>
            <w:r>
              <w:rPr>
                <w:rFonts w:ascii="宋体" w:hAnsi="宋体" w:cs="宋体"/>
                <w:sz w:val="24"/>
              </w:rPr>
              <w:t>谈判公告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cs="宋体"/>
                <w:sz w:val="24"/>
              </w:rPr>
              <w:t>详见竞争性</w:t>
            </w:r>
            <w:r>
              <w:rPr>
                <w:rFonts w:ascii="宋体" w:hAnsi="宋体" w:cs="宋体"/>
                <w:sz w:val="24"/>
              </w:rPr>
              <w:t>谈判公告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谈判文件申领时间</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bCs/>
                <w:sz w:val="24"/>
              </w:rPr>
              <w:t>详见竞争性谈判公告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gridSpan w:val="2"/>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  □是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gridSpan w:val="2"/>
            <w:vAlign w:val="center"/>
          </w:tcPr>
          <w:p>
            <w:pPr>
              <w:adjustRightInd w:val="0"/>
              <w:snapToGrid w:val="0"/>
              <w:spacing w:line="360" w:lineRule="exact"/>
              <w:rPr>
                <w:rFonts w:ascii="宋体" w:hAnsi="宋体"/>
                <w:sz w:val="24"/>
              </w:rPr>
            </w:pPr>
            <w:r>
              <w:fldChar w:fldCharType="begin"/>
            </w:r>
            <w:r>
              <w:instrText xml:space="preserve"> HYPERLINK "http://www.plap.mil.cn;www.tmmu.edu.cn" </w:instrText>
            </w:r>
            <w:r>
              <w:fldChar w:fldCharType="separate"/>
            </w:r>
            <w:r>
              <w:rPr>
                <w:rStyle w:val="17"/>
                <w:rFonts w:ascii="宋体" w:hAnsi="宋体"/>
                <w:bCs/>
                <w:color w:val="auto"/>
                <w:sz w:val="24"/>
                <w:u w:val="none"/>
              </w:rPr>
              <w:t>www.tmmu.edu.cn</w:t>
            </w:r>
            <w:r>
              <w:rPr>
                <w:rStyle w:val="17"/>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rPr>
              <w:t>4</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谈判保证金</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gridSpan w:val="2"/>
            <w:vAlign w:val="center"/>
          </w:tcPr>
          <w:p>
            <w:pPr>
              <w:tabs>
                <w:tab w:val="left" w:pos="888"/>
              </w:tabs>
              <w:spacing w:line="360" w:lineRule="exact"/>
              <w:rPr>
                <w:rFonts w:ascii="宋体" w:hAnsi="宋体"/>
                <w:sz w:val="24"/>
              </w:rPr>
            </w:pPr>
            <w:r>
              <w:rPr>
                <w:rFonts w:hint="eastAsia" w:ascii="宋体" w:hAnsi="宋体"/>
                <w:sz w:val="24"/>
              </w:rPr>
              <w:t>报价开始时间：详见竞争性谈判公告。</w:t>
            </w:r>
          </w:p>
          <w:p>
            <w:pPr>
              <w:tabs>
                <w:tab w:val="left" w:pos="888"/>
              </w:tabs>
              <w:spacing w:line="360" w:lineRule="exact"/>
              <w:rPr>
                <w:rFonts w:ascii="宋体" w:hAnsi="宋体"/>
                <w:sz w:val="24"/>
              </w:rPr>
            </w:pPr>
            <w:r>
              <w:rPr>
                <w:rFonts w:hint="eastAsia" w:ascii="宋体" w:hAnsi="宋体"/>
                <w:sz w:val="24"/>
              </w:rPr>
              <w:t>报价地点：重庆市沙坪坝区高滩岩正街30号。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谈判时间及地点</w:t>
            </w:r>
          </w:p>
        </w:tc>
        <w:tc>
          <w:tcPr>
            <w:tcW w:w="5580" w:type="dxa"/>
            <w:gridSpan w:val="2"/>
            <w:vAlign w:val="center"/>
          </w:tcPr>
          <w:p>
            <w:pPr>
              <w:tabs>
                <w:tab w:val="left" w:pos="888"/>
              </w:tabs>
              <w:spacing w:line="360" w:lineRule="exact"/>
              <w:rPr>
                <w:rFonts w:ascii="宋体" w:hAnsi="宋体"/>
                <w:sz w:val="24"/>
              </w:rPr>
            </w:pPr>
            <w:r>
              <w:rPr>
                <w:rFonts w:hint="eastAsia" w:ascii="宋体" w:hAnsi="宋体"/>
                <w:sz w:val="24"/>
              </w:rPr>
              <w:t>谈判时间：以电话通知为准</w:t>
            </w:r>
          </w:p>
          <w:p>
            <w:pPr>
              <w:tabs>
                <w:tab w:val="left" w:pos="888"/>
              </w:tabs>
              <w:spacing w:line="360" w:lineRule="exact"/>
              <w:rPr>
                <w:rFonts w:ascii="宋体" w:hAnsi="宋体"/>
                <w:sz w:val="24"/>
              </w:rPr>
            </w:pPr>
            <w:r>
              <w:rPr>
                <w:rFonts w:hint="eastAsia" w:ascii="宋体" w:hAnsi="宋体"/>
                <w:sz w:val="24"/>
              </w:rPr>
              <w:t>谈判地点：重庆市沙坪坝区高滩岩正街30号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资格性审查标准</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sz w:val="24"/>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符合性审查标准</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sz w:val="24"/>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商务评审标准</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sz w:val="24"/>
              </w:rPr>
              <w:t>详见附表3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技术评审标准</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sz w:val="24"/>
              </w:rPr>
              <w:t>详见附表4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5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价格评审标准</w:t>
            </w:r>
          </w:p>
        </w:tc>
        <w:tc>
          <w:tcPr>
            <w:tcW w:w="1574" w:type="dxa"/>
            <w:vAlign w:val="center"/>
          </w:tcPr>
          <w:p>
            <w:pPr>
              <w:pStyle w:val="7"/>
              <w:spacing w:line="360" w:lineRule="exact"/>
              <w:rPr>
                <w:rFonts w:ascii="宋体" w:hAnsi="宋体"/>
                <w:sz w:val="24"/>
              </w:rPr>
            </w:pPr>
            <w:r>
              <w:rPr>
                <w:rFonts w:hint="eastAsia" w:ascii="宋体" w:hAnsi="宋体"/>
                <w:sz w:val="24"/>
              </w:rPr>
              <w:t>详见附表5</w:t>
            </w:r>
          </w:p>
        </w:tc>
        <w:tc>
          <w:tcPr>
            <w:tcW w:w="4006" w:type="dxa"/>
            <w:vAlign w:val="center"/>
          </w:tcPr>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基准价法</w:t>
            </w:r>
          </w:p>
          <w:p>
            <w:pPr>
              <w:pStyle w:val="7"/>
              <w:spacing w:line="360" w:lineRule="exact"/>
              <w:rPr>
                <w:rFonts w:ascii="宋体" w:hAnsi="宋体"/>
                <w:sz w:val="24"/>
              </w:rPr>
            </w:pPr>
            <w:r>
              <w:rPr>
                <w:rFonts w:hint="eastAsia" w:ascii="宋体" w:hAnsi="宋体"/>
                <w:sz w:val="24"/>
              </w:rPr>
              <w:t>□低价优先法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54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非实质性负偏离的项数</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sz w:val="24"/>
              </w:rPr>
              <w:t>□</w:t>
            </w:r>
            <w:r>
              <w:rPr>
                <w:rFonts w:hint="eastAsia" w:ascii="宋体" w:hAnsi="宋体" w:cs="宋体"/>
                <w:bCs/>
                <w:sz w:val="24"/>
              </w:rPr>
              <w:t>报价</w:t>
            </w:r>
            <w:r>
              <w:rPr>
                <w:rFonts w:hint="eastAsia" w:ascii="宋体" w:hAnsi="宋体"/>
                <w:sz w:val="24"/>
              </w:rPr>
              <w:t>文件中非实质性商务条款负偏离</w:t>
            </w:r>
            <w:r>
              <w:rPr>
                <w:rFonts w:ascii="宋体" w:hAnsi="宋体"/>
                <w:sz w:val="24"/>
                <w:u w:val="single"/>
              </w:rPr>
              <w:t xml:space="preserve">  </w:t>
            </w:r>
            <w:r>
              <w:rPr>
                <w:rFonts w:hint="eastAsia" w:ascii="宋体" w:hAnsi="宋体"/>
                <w:sz w:val="24"/>
              </w:rPr>
              <w:t>项以上，视为无效报价；</w:t>
            </w:r>
          </w:p>
          <w:p>
            <w:pPr>
              <w:adjustRightInd w:val="0"/>
              <w:snapToGrid w:val="0"/>
              <w:spacing w:line="360" w:lineRule="exact"/>
              <w:rPr>
                <w:rFonts w:ascii="宋体" w:hAnsi="宋体"/>
                <w:sz w:val="24"/>
              </w:rPr>
            </w:pPr>
            <w:r>
              <w:rPr>
                <w:rFonts w:hint="eastAsia" w:ascii="宋体" w:hAnsi="宋体"/>
                <w:sz w:val="24"/>
              </w:rPr>
              <w:t>□</w:t>
            </w:r>
            <w:r>
              <w:rPr>
                <w:rFonts w:hint="eastAsia" w:ascii="宋体" w:hAnsi="宋体" w:cs="宋体"/>
                <w:bCs/>
                <w:sz w:val="24"/>
              </w:rPr>
              <w:t>报价</w:t>
            </w:r>
            <w:r>
              <w:rPr>
                <w:rFonts w:hint="eastAsia" w:ascii="宋体" w:hAnsi="宋体"/>
                <w:sz w:val="24"/>
              </w:rPr>
              <w:t>文件中非实质性技术指标参数负偏离</w:t>
            </w:r>
            <w:r>
              <w:rPr>
                <w:rFonts w:ascii="宋体" w:hAnsi="宋体"/>
                <w:sz w:val="24"/>
                <w:u w:val="single"/>
              </w:rPr>
              <w:t xml:space="preserve">  </w:t>
            </w:r>
            <w:r>
              <w:rPr>
                <w:rFonts w:hint="eastAsia" w:ascii="宋体" w:hAnsi="宋体"/>
                <w:sz w:val="24"/>
              </w:rPr>
              <w:t>项以上，视为无效报价；</w:t>
            </w:r>
          </w:p>
          <w:p>
            <w:pPr>
              <w:adjustRightInd w:val="0"/>
              <w:snapToGrid w:val="0"/>
              <w:spacing w:line="360" w:lineRule="exact"/>
              <w:rPr>
                <w:rFonts w:ascii="宋体" w:hAnsi="宋体"/>
                <w:sz w:val="24"/>
              </w:rPr>
            </w:pPr>
            <w:r>
              <w:rPr>
                <w:rFonts w:hint="eastAsia" w:ascii="宋体" w:hAnsi="宋体" w:cs="宋体"/>
                <w:bCs/>
                <w:sz w:val="24"/>
              </w:rPr>
              <w:sym w:font="Wingdings 2" w:char="0052"/>
            </w:r>
            <w:r>
              <w:rPr>
                <w:rFonts w:hint="eastAsia" w:ascii="宋体" w:hAnsi="宋体" w:cs="宋体"/>
                <w:bCs/>
                <w:sz w:val="24"/>
                <w:u w:val="single"/>
              </w:rPr>
              <w:t>根据商务评审标准表和技术评审标准表明确的内容评定</w:t>
            </w:r>
            <w:r>
              <w:rPr>
                <w:rFonts w:ascii="宋体" w:hAnsi="宋体"/>
                <w:sz w:val="24"/>
                <w:u w:val="single"/>
              </w:rPr>
              <w:t xml:space="preserve">                </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w:t>
            </w:r>
            <w:r>
              <w:rPr>
                <w:rFonts w:hint="eastAsia" w:ascii="宋体" w:hAnsi="宋体"/>
                <w:sz w:val="24"/>
              </w:rPr>
              <w:t>9</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gridSpan w:val="2"/>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F052"/>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20</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gridSpan w:val="2"/>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rPr>
              <w:t xml:space="preserve">预防医学系       </w:t>
            </w:r>
            <w:r>
              <w:rPr>
                <w:rFonts w:ascii="宋体" w:hAnsi="宋体"/>
                <w:sz w:val="24"/>
                <w:u w:val="single"/>
              </w:rPr>
              <w:t xml:space="preserve"> </w:t>
            </w:r>
          </w:p>
          <w:p>
            <w:pPr>
              <w:tabs>
                <w:tab w:val="left" w:pos="888"/>
              </w:tabs>
              <w:spacing w:line="360" w:lineRule="exact"/>
              <w:rPr>
                <w:rFonts w:ascii="宋体" w:hAnsi="宋体"/>
                <w:sz w:val="24"/>
              </w:rPr>
            </w:pPr>
            <w:r>
              <w:rPr>
                <w:rFonts w:hint="eastAsia" w:ascii="宋体" w:hAnsi="宋体"/>
                <w:sz w:val="24"/>
              </w:rPr>
              <w:t xml:space="preserve">联系人： </w:t>
            </w:r>
            <w:r>
              <w:rPr>
                <w:rFonts w:ascii="宋体" w:hAnsi="宋体"/>
                <w:sz w:val="24"/>
                <w:u w:val="single"/>
              </w:rPr>
              <w:t xml:space="preserve"> </w:t>
            </w:r>
            <w:r>
              <w:rPr>
                <w:rFonts w:hint="eastAsia" w:ascii="宋体" w:hAnsi="宋体"/>
                <w:sz w:val="24"/>
                <w:u w:val="single"/>
              </w:rPr>
              <w:t>李老师</w:t>
            </w:r>
            <w:r>
              <w:rPr>
                <w:rFonts w:ascii="宋体" w:hAnsi="宋体"/>
                <w:sz w:val="24"/>
                <w:u w:val="single"/>
              </w:rPr>
              <w:t xml:space="preserve">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023-68752300</w:t>
            </w:r>
            <w:r>
              <w:rPr>
                <w:rFonts w:ascii="宋体" w:hAnsi="宋体"/>
                <w:sz w:val="24"/>
                <w:u w:val="single"/>
              </w:rPr>
              <w:t xml:space="preserve">  </w:t>
            </w:r>
            <w:r>
              <w:rPr>
                <w:rFonts w:hint="eastAsia" w:ascii="宋体" w:hAnsi="宋体"/>
                <w:sz w:val="24"/>
                <w:u w:val="single"/>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w:t>
            </w:r>
            <w:r>
              <w:rPr>
                <w:rFonts w:hint="eastAsia"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gridSpan w:val="2"/>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2</w:t>
            </w:r>
            <w:r>
              <w:rPr>
                <w:rFonts w:hint="eastAsia" w:ascii="宋体" w:hAnsi="宋体"/>
                <w:sz w:val="24"/>
              </w:rPr>
              <w:t>2</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gridSpan w:val="2"/>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rPr>
          <w:rFonts w:ascii="黑体" w:hAnsi="黑体" w:cs="黑体"/>
          <w:sz w:val="28"/>
          <w:szCs w:val="28"/>
        </w:rPr>
      </w:pPr>
    </w:p>
    <w:p>
      <w:pPr>
        <w:pStyle w:val="7"/>
        <w:rPr>
          <w:rFonts w:ascii="黑体" w:hAnsi="黑体" w:cs="黑体"/>
          <w:sz w:val="28"/>
          <w:szCs w:val="28"/>
        </w:rPr>
      </w:pPr>
    </w:p>
    <w:p/>
    <w:p>
      <w:pPr>
        <w:pStyle w:val="7"/>
        <w:rPr>
          <w:rFonts w:ascii="黑体" w:hAnsi="黑体" w:cs="黑体"/>
          <w:sz w:val="28"/>
          <w:szCs w:val="28"/>
        </w:rPr>
      </w:pPr>
    </w:p>
    <w:p>
      <w:pPr>
        <w:rPr>
          <w:rFonts w:ascii="黑体" w:hAnsi="黑体" w:cs="黑体"/>
          <w:sz w:val="28"/>
          <w:szCs w:val="28"/>
        </w:rPr>
      </w:pPr>
    </w:p>
    <w:p>
      <w:pPr>
        <w:rPr>
          <w:rFonts w:ascii="宋体" w:hAnsi="宋体" w:cs="宋体"/>
          <w:b/>
          <w:sz w:val="28"/>
          <w:szCs w:val="28"/>
        </w:rPr>
      </w:pPr>
      <w:bookmarkStart w:id="309" w:name="_Toc132399040"/>
      <w:bookmarkStart w:id="310" w:name="_Toc130887805"/>
      <w:bookmarkStart w:id="311" w:name="_Toc128772330"/>
      <w:bookmarkStart w:id="312" w:name="_Toc150351565"/>
      <w:bookmarkStart w:id="313" w:name="_Toc10169"/>
      <w:bookmarkStart w:id="314" w:name="_Toc28545"/>
      <w:bookmarkStart w:id="315" w:name="_Toc128150565"/>
      <w:bookmarkStart w:id="316" w:name="_Toc121473161"/>
      <w:bookmarkStart w:id="317" w:name="_Toc1301"/>
      <w:bookmarkStart w:id="318" w:name="_Toc20287"/>
      <w:bookmarkStart w:id="319" w:name="_Toc154562967"/>
      <w:bookmarkStart w:id="320" w:name="_Toc16041"/>
    </w:p>
    <w:p>
      <w:pPr>
        <w:pStyle w:val="7"/>
        <w:rPr>
          <w:rFonts w:ascii="宋体" w:hAnsi="宋体" w:cs="宋体"/>
          <w:b/>
          <w:sz w:val="28"/>
          <w:szCs w:val="28"/>
        </w:rPr>
      </w:pPr>
    </w:p>
    <w:p>
      <w:pPr>
        <w:rPr>
          <w:rFonts w:ascii="宋体" w:hAnsi="宋体" w:cs="宋体"/>
          <w:b/>
          <w:sz w:val="28"/>
          <w:szCs w:val="28"/>
        </w:rPr>
      </w:pPr>
    </w:p>
    <w:p>
      <w:pPr>
        <w:pStyle w:val="7"/>
        <w:rPr>
          <w:rFonts w:ascii="宋体" w:hAnsi="宋体" w:cs="宋体"/>
          <w:b/>
          <w:sz w:val="28"/>
          <w:szCs w:val="28"/>
        </w:rPr>
      </w:pPr>
    </w:p>
    <w:p/>
    <w:p>
      <w:pPr>
        <w:pStyle w:val="7"/>
      </w:pPr>
    </w:p>
    <w:p/>
    <w:p>
      <w:pPr>
        <w:pStyle w:val="7"/>
      </w:pPr>
    </w:p>
    <w:p>
      <w:r>
        <w:rPr>
          <w:rFonts w:hint="eastAsia"/>
        </w:rPr>
        <w:br w:type="page"/>
      </w:r>
    </w:p>
    <w:p>
      <w:pPr>
        <w:rPr>
          <w:rFonts w:ascii="宋体" w:hAnsi="宋体" w:cs="宋体"/>
          <w:b/>
          <w:sz w:val="28"/>
          <w:szCs w:val="28"/>
        </w:rPr>
      </w:pPr>
      <w:r>
        <w:rPr>
          <w:rFonts w:hint="eastAsia" w:ascii="宋体" w:hAnsi="宋体" w:cs="宋体"/>
          <w:b/>
          <w:sz w:val="28"/>
          <w:szCs w:val="28"/>
        </w:rPr>
        <w:t>附表1 资格性审查表</w:t>
      </w:r>
      <w:bookmarkEnd w:id="309"/>
      <w:bookmarkEnd w:id="310"/>
      <w:bookmarkEnd w:id="311"/>
      <w:bookmarkEnd w:id="312"/>
      <w:bookmarkEnd w:id="313"/>
      <w:bookmarkEnd w:id="314"/>
      <w:bookmarkEnd w:id="315"/>
      <w:bookmarkEnd w:id="316"/>
      <w:bookmarkEnd w:id="317"/>
      <w:bookmarkEnd w:id="318"/>
      <w:bookmarkEnd w:id="319"/>
      <w:bookmarkEnd w:id="320"/>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资格性审查表</w:t>
      </w:r>
    </w:p>
    <w:p>
      <w:pPr>
        <w:spacing w:line="560" w:lineRule="exact"/>
        <w:jc w:val="left"/>
        <w:rPr>
          <w:sz w:val="28"/>
          <w:szCs w:val="28"/>
        </w:rPr>
      </w:pPr>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p>
    <w:tbl>
      <w:tblPr>
        <w:tblStyle w:val="13"/>
        <w:tblW w:w="9435" w:type="dxa"/>
        <w:jc w:val="center"/>
        <w:tblLayout w:type="fixed"/>
        <w:tblCellMar>
          <w:top w:w="0" w:type="dxa"/>
          <w:left w:w="108" w:type="dxa"/>
          <w:bottom w:w="0" w:type="dxa"/>
          <w:right w:w="108" w:type="dxa"/>
        </w:tblCellMar>
      </w:tblPr>
      <w:tblGrid>
        <w:gridCol w:w="3160"/>
        <w:gridCol w:w="1134"/>
        <w:gridCol w:w="1134"/>
        <w:gridCol w:w="4007"/>
      </w:tblGrid>
      <w:tr>
        <w:tblPrEx>
          <w:tblCellMar>
            <w:top w:w="0" w:type="dxa"/>
            <w:left w:w="108" w:type="dxa"/>
            <w:bottom w:w="0" w:type="dxa"/>
            <w:right w:w="108" w:type="dxa"/>
          </w:tblCellMar>
        </w:tblPrEx>
        <w:trPr>
          <w:trHeight w:val="338" w:hRule="atLeast"/>
          <w:tblHeader/>
          <w:jc w:val="center"/>
        </w:trPr>
        <w:tc>
          <w:tcPr>
            <w:tcW w:w="316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审查项目</w:t>
            </w:r>
          </w:p>
        </w:tc>
        <w:tc>
          <w:tcPr>
            <w:tcW w:w="2268"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是否合格</w:t>
            </w:r>
          </w:p>
        </w:tc>
        <w:tc>
          <w:tcPr>
            <w:tcW w:w="4007"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具体要求</w:t>
            </w:r>
          </w:p>
        </w:tc>
      </w:tr>
      <w:tr>
        <w:tblPrEx>
          <w:tblCellMar>
            <w:top w:w="0" w:type="dxa"/>
            <w:left w:w="108" w:type="dxa"/>
            <w:bottom w:w="0" w:type="dxa"/>
            <w:right w:w="108" w:type="dxa"/>
          </w:tblCellMar>
        </w:tblPrEx>
        <w:trPr>
          <w:trHeight w:val="788" w:hRule="exact"/>
          <w:tblHeader/>
          <w:jc w:val="center"/>
        </w:trPr>
        <w:tc>
          <w:tcPr>
            <w:tcW w:w="316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报价</w:t>
            </w:r>
          </w:p>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供应商</w:t>
            </w:r>
          </w:p>
        </w:tc>
        <w:tc>
          <w:tcPr>
            <w:tcW w:w="1134"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4007" w:type="dxa"/>
            <w:vMerge w:val="continue"/>
            <w:tcBorders>
              <w:top w:val="single" w:color="auto" w:sz="4" w:space="0"/>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r>
      <w:tr>
        <w:tblPrEx>
          <w:tblCellMar>
            <w:top w:w="0" w:type="dxa"/>
            <w:left w:w="108" w:type="dxa"/>
            <w:bottom w:w="0" w:type="dxa"/>
            <w:right w:w="108" w:type="dxa"/>
          </w:tblCellMar>
        </w:tblPrEx>
        <w:trPr>
          <w:trHeight w:val="575" w:hRule="exact"/>
          <w:jc w:val="center"/>
        </w:trPr>
        <w:tc>
          <w:tcPr>
            <w:tcW w:w="9435" w:type="dxa"/>
            <w:gridSpan w:val="4"/>
            <w:tcBorders>
              <w:top w:val="nil"/>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一、一般资格审查</w:t>
            </w:r>
          </w:p>
        </w:tc>
      </w:tr>
      <w:tr>
        <w:tblPrEx>
          <w:tblCellMar>
            <w:top w:w="0" w:type="dxa"/>
            <w:left w:w="108" w:type="dxa"/>
            <w:bottom w:w="0" w:type="dxa"/>
            <w:right w:w="108" w:type="dxa"/>
          </w:tblCellMar>
        </w:tblPrEx>
        <w:trPr>
          <w:trHeight w:val="5002"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1.营业执照或事业单位法人证书满足</w:t>
            </w:r>
            <w:r>
              <w:rPr>
                <w:rFonts w:hint="eastAsia" w:asciiTheme="minorEastAsia" w:hAnsiTheme="minorEastAsia" w:eastAsiaTheme="minorEastAsia"/>
                <w:sz w:val="24"/>
              </w:rPr>
              <w:t>谈判文件要求</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bCs/>
                <w:sz w:val="24"/>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报价</w:t>
            </w:r>
            <w:r>
              <w:rPr>
                <w:rFonts w:hint="eastAsia" w:asciiTheme="minorEastAsia" w:hAnsiTheme="minorEastAsia" w:eastAsiaTheme="minorEastAsia"/>
                <w:bCs/>
                <w:sz w:val="24"/>
              </w:rPr>
              <w:t>供应商在资格证明文件中如有两个以上名称的，应当提供市场监管部门出具的其为同一单位书面证明材料；军队单位或事业单位，可以提供其上级主管部门出具的书面证明材料。</w:t>
            </w:r>
          </w:p>
        </w:tc>
      </w:tr>
      <w:tr>
        <w:tblPrEx>
          <w:tblCellMar>
            <w:top w:w="0" w:type="dxa"/>
            <w:left w:w="108" w:type="dxa"/>
            <w:bottom w:w="0" w:type="dxa"/>
            <w:right w:w="108" w:type="dxa"/>
          </w:tblCellMar>
        </w:tblPrEx>
        <w:trPr>
          <w:trHeight w:val="575"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asciiTheme="minorEastAsia" w:hAnsiTheme="minorEastAsia" w:eastAsiaTheme="minorEastAsia"/>
                <w:sz w:val="24"/>
              </w:rPr>
              <w:t>2.法定代表人资格证明书</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2258"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宋体" w:hAnsi="宋体"/>
                <w:sz w:val="24"/>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3948"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.供应商承诺声明</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rPr>
              <w:t>以供应商承诺声明的内容为准</w:t>
            </w:r>
            <w:r>
              <w:rPr>
                <w:rFonts w:hint="eastAsia"/>
              </w:rPr>
              <w:t>）</w:t>
            </w:r>
          </w:p>
        </w:tc>
      </w:tr>
      <w:tr>
        <w:tblPrEx>
          <w:tblCellMar>
            <w:top w:w="0" w:type="dxa"/>
            <w:left w:w="108" w:type="dxa"/>
            <w:bottom w:w="0" w:type="dxa"/>
            <w:right w:w="108" w:type="dxa"/>
          </w:tblCellMar>
        </w:tblPrEx>
        <w:trPr>
          <w:trHeight w:val="3108"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p>
            <w:pPr>
              <w:pStyle w:val="7"/>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CellMar>
            <w:top w:w="0" w:type="dxa"/>
            <w:left w:w="108" w:type="dxa"/>
            <w:bottom w:w="0" w:type="dxa"/>
            <w:right w:w="108" w:type="dxa"/>
          </w:tblCellMar>
        </w:tblPrEx>
        <w:trPr>
          <w:trHeight w:val="3162"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p>
            <w:pPr>
              <w:spacing w:line="360" w:lineRule="exact"/>
              <w:rPr>
                <w:rFonts w:asciiTheme="minorEastAsia" w:hAnsiTheme="minorEastAsia" w:eastAsiaTheme="minorEastAsia"/>
                <w:sz w:val="24"/>
              </w:rPr>
            </w:pPr>
          </w:p>
          <w:p>
            <w:pPr>
              <w:spacing w:line="360" w:lineRule="exac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CellMar>
            <w:top w:w="0" w:type="dxa"/>
            <w:left w:w="108" w:type="dxa"/>
            <w:bottom w:w="0" w:type="dxa"/>
            <w:right w:w="108" w:type="dxa"/>
          </w:tblCellMar>
        </w:tblPrEx>
        <w:trPr>
          <w:trHeight w:val="843" w:hRule="exact"/>
          <w:jc w:val="center"/>
        </w:trPr>
        <w:tc>
          <w:tcPr>
            <w:tcW w:w="3160" w:type="dxa"/>
            <w:tcBorders>
              <w:top w:val="nil"/>
              <w:left w:val="single" w:color="auto" w:sz="4" w:space="0"/>
              <w:bottom w:val="single" w:color="auto" w:sz="4" w:space="0"/>
              <w:right w:val="single" w:color="auto" w:sz="4" w:space="0"/>
            </w:tcBorders>
            <w:vAlign w:val="center"/>
          </w:tcPr>
          <w:p>
            <w:pPr>
              <w:spacing w:line="360" w:lineRule="exact"/>
              <w:rPr>
                <w:rFonts w:asciiTheme="minorEastAsia" w:hAnsiTheme="minorEastAsia" w:eastAsiaTheme="minorEastAsia"/>
                <w:sz w:val="24"/>
              </w:rPr>
            </w:pPr>
            <w:r>
              <w:rPr>
                <w:rFonts w:hint="eastAsia" w:ascii="宋体" w:hAnsi="宋体"/>
                <w:sz w:val="24"/>
              </w:rPr>
              <w:t>7</w:t>
            </w:r>
            <w:r>
              <w:rPr>
                <w:rFonts w:ascii="宋体" w:hAnsi="宋体"/>
                <w:sz w:val="24"/>
              </w:rPr>
              <w:t>.</w:t>
            </w:r>
            <w:r>
              <w:rPr>
                <w:rFonts w:hint="eastAsia" w:ascii="宋体" w:hAnsi="宋体"/>
                <w:sz w:val="24"/>
              </w:rPr>
              <w:t>密封满足谈判文件要求</w:t>
            </w: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134"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4007"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535"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说明：</w:t>
            </w:r>
            <w:r>
              <w:rPr>
                <w:rFonts w:cs="宋体" w:asciiTheme="minorEastAsia" w:hAnsiTheme="minorEastAsia" w:eastAsiaTheme="minorEastAsia"/>
                <w:sz w:val="24"/>
              </w:rPr>
              <w:t>1.合格打“√”</w:t>
            </w:r>
            <w:r>
              <w:rPr>
                <w:rFonts w:hint="eastAsia" w:ascii="宋体" w:hAnsi="宋体"/>
                <w:bCs/>
                <w:snapToGrid w:val="0"/>
                <w:sz w:val="28"/>
                <w:szCs w:val="28"/>
                <w:lang w:val="zh-CN"/>
              </w:rPr>
              <w:t>，</w:t>
            </w:r>
            <w:r>
              <w:rPr>
                <w:rFonts w:hint="eastAsia" w:cs="宋体" w:asciiTheme="minorEastAsia" w:hAnsiTheme="minorEastAsia" w:eastAsiaTheme="minorEastAsia"/>
                <w:sz w:val="24"/>
              </w:rPr>
              <w:t>不合格打“×”。</w:t>
            </w:r>
          </w:p>
          <w:p>
            <w:pPr>
              <w:widowControl/>
              <w:spacing w:line="360" w:lineRule="exact"/>
              <w:ind w:firstLine="720" w:firstLineChars="300"/>
              <w:jc w:val="left"/>
              <w:rPr>
                <w:rFonts w:cs="宋体" w:asciiTheme="minorEastAsia" w:hAnsiTheme="minorEastAsia" w:eastAsiaTheme="minorEastAsia"/>
                <w:sz w:val="24"/>
              </w:rPr>
            </w:pPr>
            <w:r>
              <w:rPr>
                <w:rFonts w:cs="宋体" w:asciiTheme="minorEastAsia" w:hAnsiTheme="minorEastAsia" w:eastAsiaTheme="minorEastAsia"/>
                <w:sz w:val="24"/>
              </w:rPr>
              <w:t>2.有一项内容不合格</w:t>
            </w:r>
            <w:r>
              <w:rPr>
                <w:rFonts w:hint="eastAsia" w:cs="宋体" w:asciiTheme="minorEastAsia" w:hAnsiTheme="minorEastAsia" w:eastAsiaTheme="minorEastAsia"/>
                <w:sz w:val="24"/>
              </w:rPr>
              <w:t>的</w:t>
            </w:r>
            <w:r>
              <w:rPr>
                <w:rFonts w:cs="宋体" w:asciiTheme="minorEastAsia" w:hAnsiTheme="minorEastAsia" w:eastAsiaTheme="minorEastAsia"/>
                <w:sz w:val="24"/>
              </w:rPr>
              <w:t>，综合评定为不合格。</w:t>
            </w:r>
          </w:p>
        </w:tc>
      </w:tr>
    </w:tbl>
    <w:p>
      <w:pPr>
        <w:spacing w:line="560" w:lineRule="exact"/>
        <w:rPr>
          <w:sz w:val="28"/>
          <w:szCs w:val="28"/>
        </w:rPr>
      </w:pPr>
      <w:r>
        <w:rPr>
          <w:rFonts w:hint="eastAsia"/>
          <w:sz w:val="28"/>
          <w:szCs w:val="28"/>
        </w:rPr>
        <w:t>审查人员签名：</w:t>
      </w:r>
      <w:r>
        <w:rPr>
          <w:sz w:val="28"/>
          <w:szCs w:val="28"/>
        </w:rPr>
        <w:t xml:space="preserve">                              </w:t>
      </w:r>
      <w:bookmarkStart w:id="321" w:name="_Hlk118908753"/>
      <w:r>
        <w:rPr>
          <w:sz w:val="28"/>
          <w:szCs w:val="28"/>
        </w:rPr>
        <w:t xml:space="preserve">  </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bookmarkEnd w:id="321"/>
      <w:bookmarkStart w:id="322" w:name="_Toc130887806"/>
      <w:bookmarkStart w:id="323" w:name="_Toc29198"/>
      <w:bookmarkStart w:id="324" w:name="_Toc121473162"/>
      <w:bookmarkStart w:id="325" w:name="_Toc24670"/>
      <w:bookmarkStart w:id="326" w:name="_Toc150351566"/>
      <w:bookmarkStart w:id="327" w:name="_Toc8677"/>
      <w:bookmarkStart w:id="328" w:name="_Toc154562968"/>
      <w:bookmarkStart w:id="329" w:name="_Toc3729"/>
      <w:bookmarkStart w:id="330" w:name="_Toc23146"/>
      <w:bookmarkStart w:id="331" w:name="_Toc128150566"/>
      <w:bookmarkStart w:id="332" w:name="_Toc132399041"/>
      <w:bookmarkStart w:id="333" w:name="_Toc128772331"/>
    </w:p>
    <w:p>
      <w:pPr>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附表</w:t>
      </w:r>
      <w:r>
        <w:rPr>
          <w:rFonts w:ascii="黑体" w:hAnsi="黑体" w:eastAsia="黑体"/>
          <w:sz w:val="28"/>
          <w:szCs w:val="28"/>
        </w:rPr>
        <w:t xml:space="preserve">2 </w:t>
      </w:r>
      <w:r>
        <w:rPr>
          <w:rFonts w:hint="eastAsia" w:ascii="黑体" w:hAnsi="黑体" w:eastAsia="黑体"/>
          <w:sz w:val="28"/>
          <w:szCs w:val="28"/>
        </w:rPr>
        <w:t>符合性审查表</w:t>
      </w:r>
      <w:bookmarkEnd w:id="322"/>
      <w:bookmarkEnd w:id="323"/>
      <w:bookmarkEnd w:id="324"/>
      <w:bookmarkEnd w:id="325"/>
      <w:bookmarkEnd w:id="326"/>
      <w:bookmarkEnd w:id="327"/>
      <w:bookmarkEnd w:id="328"/>
      <w:bookmarkEnd w:id="329"/>
      <w:bookmarkEnd w:id="330"/>
      <w:bookmarkEnd w:id="331"/>
      <w:bookmarkEnd w:id="332"/>
      <w:bookmarkEnd w:id="33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符合性审查表</w:t>
      </w:r>
    </w:p>
    <w:p>
      <w:pPr>
        <w:spacing w:line="560" w:lineRule="exact"/>
        <w:jc w:val="left"/>
        <w:rPr>
          <w:sz w:val="28"/>
          <w:szCs w:val="28"/>
        </w:rPr>
      </w:pPr>
      <w:bookmarkStart w:id="334" w:name="_Hlk118988893"/>
      <w:r>
        <w:rPr>
          <w:rFonts w:hint="eastAsia"/>
          <w:sz w:val="28"/>
          <w:szCs w:val="28"/>
        </w:rPr>
        <w:t>项目名称：</w:t>
      </w:r>
      <w:r>
        <w:rPr>
          <w:sz w:val="28"/>
          <w:szCs w:val="28"/>
          <w:u w:val="single"/>
        </w:rPr>
        <w:t xml:space="preserve">          </w:t>
      </w:r>
      <w:r>
        <w:rPr>
          <w:sz w:val="28"/>
          <w:szCs w:val="28"/>
        </w:rPr>
        <w:t xml:space="preserve">      </w:t>
      </w:r>
      <w:r>
        <w:rPr>
          <w:rFonts w:hint="eastAsia"/>
          <w:sz w:val="28"/>
          <w:szCs w:val="28"/>
        </w:rPr>
        <w:t>项目编号：</w:t>
      </w:r>
      <w:r>
        <w:rPr>
          <w:sz w:val="28"/>
          <w:szCs w:val="28"/>
          <w:u w:val="single"/>
        </w:rPr>
        <w:t xml:space="preserve">      </w:t>
      </w:r>
      <w:r>
        <w:rPr>
          <w:sz w:val="28"/>
          <w:szCs w:val="28"/>
        </w:rPr>
        <w:t xml:space="preserve">         </w:t>
      </w:r>
      <w:r>
        <w:rPr>
          <w:rFonts w:hint="eastAsia"/>
          <w:sz w:val="28"/>
          <w:szCs w:val="28"/>
        </w:rPr>
        <w:t>包号：</w:t>
      </w:r>
      <w:r>
        <w:rPr>
          <w:sz w:val="28"/>
          <w:szCs w:val="28"/>
          <w:u w:val="single"/>
        </w:rPr>
        <w:t xml:space="preserve">          </w:t>
      </w:r>
      <w:bookmarkEnd w:id="334"/>
    </w:p>
    <w:tbl>
      <w:tblPr>
        <w:tblStyle w:val="13"/>
        <w:tblW w:w="9435" w:type="dxa"/>
        <w:jc w:val="center"/>
        <w:tblLayout w:type="fixed"/>
        <w:tblCellMar>
          <w:top w:w="0" w:type="dxa"/>
          <w:left w:w="108" w:type="dxa"/>
          <w:bottom w:w="0" w:type="dxa"/>
          <w:right w:w="108" w:type="dxa"/>
        </w:tblCellMar>
      </w:tblPr>
      <w:tblGrid>
        <w:gridCol w:w="2876"/>
        <w:gridCol w:w="1418"/>
        <w:gridCol w:w="1559"/>
        <w:gridCol w:w="3582"/>
      </w:tblGrid>
      <w:tr>
        <w:tblPrEx>
          <w:tblCellMar>
            <w:top w:w="0" w:type="dxa"/>
            <w:left w:w="108" w:type="dxa"/>
            <w:bottom w:w="0" w:type="dxa"/>
            <w:right w:w="108" w:type="dxa"/>
          </w:tblCellMar>
        </w:tblPrEx>
        <w:trPr>
          <w:trHeight w:val="356" w:hRule="atLeast"/>
          <w:jc w:val="center"/>
        </w:trPr>
        <w:tc>
          <w:tcPr>
            <w:tcW w:w="28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审查项目</w:t>
            </w:r>
          </w:p>
        </w:tc>
        <w:tc>
          <w:tcPr>
            <w:tcW w:w="2977"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是否合格</w:t>
            </w:r>
          </w:p>
        </w:tc>
        <w:tc>
          <w:tcPr>
            <w:tcW w:w="3582" w:type="dxa"/>
            <w:vMerge w:val="restart"/>
            <w:tcBorders>
              <w:top w:val="single" w:color="auto" w:sz="4" w:space="0"/>
              <w:left w:val="nil"/>
              <w:bottom w:val="single" w:color="auto" w:sz="4" w:space="0"/>
              <w:right w:val="single" w:color="auto" w:sz="4" w:space="0"/>
            </w:tcBorders>
            <w:vAlign w:val="center"/>
          </w:tcPr>
          <w:p>
            <w:pPr>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具体要求</w:t>
            </w:r>
          </w:p>
        </w:tc>
      </w:tr>
      <w:tr>
        <w:tblPrEx>
          <w:tblCellMar>
            <w:top w:w="0" w:type="dxa"/>
            <w:left w:w="108" w:type="dxa"/>
            <w:bottom w:w="0" w:type="dxa"/>
            <w:right w:w="108" w:type="dxa"/>
          </w:tblCellMar>
        </w:tblPrEx>
        <w:trPr>
          <w:trHeight w:val="820" w:hRule="exact"/>
          <w:jc w:val="center"/>
        </w:trPr>
        <w:tc>
          <w:tcPr>
            <w:tcW w:w="287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c>
          <w:tcPr>
            <w:tcW w:w="1418"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报价</w:t>
            </w:r>
          </w:p>
          <w:p>
            <w:pPr>
              <w:widowControl/>
              <w:spacing w:line="360" w:lineRule="exact"/>
              <w:jc w:val="center"/>
              <w:rPr>
                <w:rFonts w:cs="宋体" w:asciiTheme="minorEastAsia" w:hAnsiTheme="minorEastAsia" w:eastAsiaTheme="minorEastAsia"/>
                <w:bCs/>
                <w:sz w:val="24"/>
              </w:rPr>
            </w:pPr>
            <w:r>
              <w:rPr>
                <w:rFonts w:hint="eastAsia" w:cs="宋体" w:asciiTheme="minorEastAsia" w:hAnsiTheme="minorEastAsia" w:eastAsiaTheme="minorEastAsia"/>
                <w:bCs/>
                <w:sz w:val="24"/>
              </w:rPr>
              <w:t>供应商</w:t>
            </w:r>
          </w:p>
        </w:tc>
        <w:tc>
          <w:tcPr>
            <w:tcW w:w="1559" w:type="dxa"/>
            <w:tcBorders>
              <w:top w:val="nil"/>
              <w:left w:val="nil"/>
              <w:bottom w:val="single" w:color="auto" w:sz="4" w:space="0"/>
              <w:right w:val="single" w:color="auto" w:sz="4" w:space="0"/>
            </w:tcBorders>
            <w:vAlign w:val="center"/>
          </w:tcPr>
          <w:p>
            <w:pPr>
              <w:widowControl/>
              <w:spacing w:line="360" w:lineRule="exact"/>
              <w:jc w:val="center"/>
              <w:rPr>
                <w:rFonts w:cs="宋体" w:asciiTheme="minorEastAsia" w:hAnsiTheme="minorEastAsia" w:eastAsiaTheme="minorEastAsia"/>
                <w:sz w:val="24"/>
              </w:rPr>
            </w:pPr>
            <w:r>
              <w:rPr>
                <w:rFonts w:hint="eastAsia" w:cs="宋体" w:asciiTheme="minorEastAsia" w:hAnsiTheme="minorEastAsia" w:eastAsiaTheme="minorEastAsia"/>
                <w:sz w:val="24"/>
              </w:rPr>
              <w:t>…</w:t>
            </w:r>
          </w:p>
        </w:tc>
        <w:tc>
          <w:tcPr>
            <w:tcW w:w="3582" w:type="dxa"/>
            <w:vMerge w:val="continue"/>
            <w:tcBorders>
              <w:top w:val="single" w:color="auto" w:sz="4" w:space="0"/>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p>
        </w:tc>
      </w:tr>
      <w:tr>
        <w:tblPrEx>
          <w:tblCellMar>
            <w:top w:w="0" w:type="dxa"/>
            <w:left w:w="108" w:type="dxa"/>
            <w:bottom w:w="0" w:type="dxa"/>
            <w:right w:w="108" w:type="dxa"/>
          </w:tblCellMar>
        </w:tblPrEx>
        <w:trPr>
          <w:trHeight w:val="2775"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报价文件签字、盖章齐全完整</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r>
              <w:rPr>
                <w:rFonts w:hint="eastAsia" w:cs="宋体" w:asciiTheme="minorEastAsia" w:hAnsiTheme="minorEastAsia" w:eastAsiaTheme="minorEastAsia"/>
                <w:bCs/>
                <w:sz w:val="24"/>
              </w:rPr>
              <w:t>报价文件需要签字处，法定代表人</w:t>
            </w:r>
            <w:r>
              <w:rPr>
                <w:rFonts w:hint="eastAsia" w:ascii="宋体" w:hAnsi="宋体" w:cs="宋体"/>
                <w:bCs/>
                <w:sz w:val="24"/>
              </w:rPr>
              <w:t>应当</w:t>
            </w:r>
            <w:r>
              <w:rPr>
                <w:rFonts w:hint="eastAsia" w:cs="宋体" w:asciiTheme="minorEastAsia" w:hAnsiTheme="minorEastAsia" w:eastAsiaTheme="minorEastAsia"/>
                <w:bCs/>
                <w:sz w:val="24"/>
              </w:rPr>
              <w:t>签字或盖章（签名章和方章均可），报价授权代表应当签字。</w:t>
            </w:r>
          </w:p>
          <w:p>
            <w:pPr>
              <w:widowControl/>
              <w:spacing w:line="360" w:lineRule="exact"/>
              <w:jc w:val="left"/>
              <w:rPr>
                <w:rFonts w:cs="宋体" w:asciiTheme="minorEastAsia" w:hAnsiTheme="minorEastAsia" w:eastAsiaTheme="minorEastAsia"/>
                <w:sz w:val="24"/>
              </w:rPr>
            </w:pPr>
            <w:r>
              <w:rPr>
                <w:rFonts w:hint="eastAsia" w:asciiTheme="minorEastAsia" w:hAnsiTheme="minorEastAsia" w:eastAsiaTheme="minorEastAsia"/>
                <w:sz w:val="24"/>
              </w:rPr>
              <w:t>符合谈判文件通用文件第</w:t>
            </w:r>
            <w:r>
              <w:rPr>
                <w:rFonts w:asciiTheme="minorEastAsia" w:hAnsiTheme="minorEastAsia" w:eastAsiaTheme="minorEastAsia"/>
                <w:sz w:val="24"/>
              </w:rPr>
              <w:t>38</w:t>
            </w:r>
            <w:r>
              <w:rPr>
                <w:rFonts w:hint="eastAsia" w:asciiTheme="minorEastAsia" w:hAnsiTheme="minorEastAsia" w:eastAsiaTheme="minorEastAsia"/>
                <w:sz w:val="24"/>
              </w:rPr>
              <w:t>条通过资格性、符合性审查的特殊情形的，应当通过审查。</w:t>
            </w:r>
          </w:p>
        </w:tc>
      </w:tr>
      <w:tr>
        <w:tblPrEx>
          <w:tblCellMar>
            <w:top w:w="0" w:type="dxa"/>
            <w:left w:w="108" w:type="dxa"/>
            <w:bottom w:w="0" w:type="dxa"/>
            <w:right w:w="108" w:type="dxa"/>
          </w:tblCellMar>
        </w:tblPrEx>
        <w:trPr>
          <w:trHeight w:val="878"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报价有效期满足谈判文件要求</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1254"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商务要求中“★”号商务条款满足谈判文件要求</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r>
              <w:rPr>
                <w:rFonts w:hint="eastAsia" w:cs="宋体" w:asciiTheme="minorEastAsia" w:hAnsiTheme="minorEastAsia" w:eastAsiaTheme="minorEastAsia"/>
                <w:sz w:val="24"/>
              </w:rPr>
              <w:t>商务</w:t>
            </w:r>
            <w:r>
              <w:rPr>
                <w:rFonts w:hint="eastAsia" w:ascii="宋体" w:hAnsi="宋体" w:cs="宋体"/>
                <w:bCs/>
                <w:sz w:val="24"/>
              </w:rPr>
              <w:t>评委</w:t>
            </w:r>
            <w:r>
              <w:rPr>
                <w:rFonts w:hint="eastAsia" w:cs="宋体" w:asciiTheme="minorEastAsia" w:hAnsiTheme="minorEastAsia" w:eastAsiaTheme="minorEastAsia"/>
                <w:sz w:val="24"/>
              </w:rPr>
              <w:t>对报价供应商响应谈判文件第六章“采购项目商务要求”中的“★”号条款情况作出判定</w:t>
            </w:r>
          </w:p>
        </w:tc>
      </w:tr>
      <w:tr>
        <w:tblPrEx>
          <w:tblCellMar>
            <w:top w:w="0" w:type="dxa"/>
            <w:left w:w="108" w:type="dxa"/>
            <w:bottom w:w="0" w:type="dxa"/>
            <w:right w:w="108" w:type="dxa"/>
          </w:tblCellMar>
        </w:tblPrEx>
        <w:trPr>
          <w:trHeight w:val="1413" w:hRule="exact"/>
          <w:jc w:val="center"/>
        </w:trPr>
        <w:tc>
          <w:tcPr>
            <w:tcW w:w="2876" w:type="dxa"/>
            <w:tcBorders>
              <w:top w:val="nil"/>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 w:val="24"/>
              </w:rPr>
            </w:pPr>
            <w:r>
              <w:rPr>
                <w:rFonts w:asciiTheme="minorEastAsia" w:hAnsiTheme="minorEastAsia" w:eastAsiaTheme="minorEastAsia"/>
                <w:sz w:val="24"/>
              </w:rPr>
              <w:t>4.技术要求</w:t>
            </w:r>
            <w:r>
              <w:rPr>
                <w:rFonts w:hint="eastAsia" w:asciiTheme="minorEastAsia" w:hAnsiTheme="minorEastAsia" w:eastAsiaTheme="minorEastAsia"/>
                <w:sz w:val="24"/>
              </w:rPr>
              <w:t>中</w:t>
            </w:r>
            <w:r>
              <w:rPr>
                <w:rFonts w:asciiTheme="minorEastAsia" w:hAnsiTheme="minorEastAsia" w:eastAsiaTheme="minorEastAsia"/>
                <w:sz w:val="24"/>
              </w:rPr>
              <w:t>“</w:t>
            </w:r>
            <w:r>
              <w:rPr>
                <w:rFonts w:hint="eastAsia" w:asciiTheme="minorEastAsia" w:hAnsiTheme="minorEastAsia" w:eastAsiaTheme="minorEastAsia"/>
                <w:sz w:val="24"/>
              </w:rPr>
              <w:t>★</w:t>
            </w:r>
            <w:r>
              <w:rPr>
                <w:rFonts w:asciiTheme="minorEastAsia" w:hAnsiTheme="minorEastAsia" w:eastAsiaTheme="minorEastAsia"/>
                <w:sz w:val="24"/>
              </w:rPr>
              <w:t>”号</w:t>
            </w:r>
            <w:r>
              <w:rPr>
                <w:rFonts w:hint="eastAsia" w:asciiTheme="minorEastAsia" w:hAnsiTheme="minorEastAsia" w:eastAsiaTheme="minorEastAsia"/>
                <w:sz w:val="24"/>
              </w:rPr>
              <w:t>技术</w:t>
            </w:r>
            <w:r>
              <w:rPr>
                <w:rFonts w:asciiTheme="minorEastAsia" w:hAnsiTheme="minorEastAsia" w:eastAsiaTheme="minorEastAsia"/>
                <w:sz w:val="24"/>
              </w:rPr>
              <w:t>条款</w:t>
            </w:r>
            <w:r>
              <w:rPr>
                <w:rFonts w:hint="eastAsia" w:asciiTheme="minorEastAsia" w:hAnsiTheme="minorEastAsia" w:eastAsiaTheme="minorEastAsia"/>
                <w:sz w:val="24"/>
              </w:rPr>
              <w:t>满足谈判文件要求</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技术</w:t>
            </w:r>
            <w:r>
              <w:rPr>
                <w:rFonts w:hint="eastAsia" w:ascii="宋体" w:hAnsi="宋体" w:cs="宋体"/>
                <w:bCs/>
                <w:sz w:val="24"/>
              </w:rPr>
              <w:t>评委</w:t>
            </w:r>
            <w:r>
              <w:rPr>
                <w:rFonts w:hint="eastAsia" w:cs="宋体" w:asciiTheme="minorEastAsia" w:hAnsiTheme="minorEastAsia" w:eastAsiaTheme="minorEastAsia"/>
                <w:sz w:val="24"/>
              </w:rPr>
              <w:t>对报价供应商响应谈判文件第六章“采购项目技术要求”中的“★”号条款情况作出判定</w:t>
            </w:r>
          </w:p>
        </w:tc>
      </w:tr>
      <w:tr>
        <w:tblPrEx>
          <w:tblCellMar>
            <w:top w:w="0" w:type="dxa"/>
            <w:left w:w="108" w:type="dxa"/>
            <w:bottom w:w="0" w:type="dxa"/>
            <w:right w:w="108" w:type="dxa"/>
          </w:tblCellMar>
        </w:tblPrEx>
        <w:trPr>
          <w:trHeight w:val="1588" w:hRule="exact"/>
          <w:jc w:val="center"/>
        </w:trPr>
        <w:tc>
          <w:tcPr>
            <w:tcW w:w="2876" w:type="dxa"/>
            <w:tcBorders>
              <w:top w:val="nil"/>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bCs/>
                <w:sz w:val="24"/>
              </w:rPr>
            </w:pPr>
            <w:r>
              <w:rPr>
                <w:rFonts w:asciiTheme="minorEastAsia" w:hAnsiTheme="minorEastAsia" w:eastAsiaTheme="minorEastAsia"/>
                <w:sz w:val="24"/>
              </w:rPr>
              <w:t>5.其他实质性内容</w:t>
            </w:r>
            <w:r>
              <w:rPr>
                <w:rFonts w:hint="eastAsia" w:ascii="宋体" w:hAnsi="宋体"/>
                <w:bCs/>
                <w:sz w:val="24"/>
              </w:rPr>
              <w:t>满足谈判文件要求</w:t>
            </w:r>
            <w:r>
              <w:rPr>
                <w:rFonts w:ascii="宋体" w:hAnsi="宋体"/>
                <w:bCs/>
                <w:sz w:val="24"/>
              </w:rPr>
              <w:t>（</w:t>
            </w:r>
            <w:r>
              <w:rPr>
                <w:rFonts w:hint="eastAsia" w:ascii="宋体" w:hAnsi="宋体"/>
                <w:bCs/>
                <w:sz w:val="24"/>
              </w:rPr>
              <w:t>无</w:t>
            </w:r>
            <w:r>
              <w:rPr>
                <w:rFonts w:hint="eastAsia" w:asciiTheme="minorEastAsia" w:hAnsiTheme="minorEastAsia" w:eastAsiaTheme="minorEastAsia"/>
                <w:sz w:val="24"/>
              </w:rPr>
              <w:t>谈判文件中明确的其他无效报价情形）</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698" w:hRule="exact"/>
          <w:jc w:val="center"/>
        </w:trPr>
        <w:tc>
          <w:tcPr>
            <w:tcW w:w="2876" w:type="dxa"/>
            <w:tcBorders>
              <w:top w:val="nil"/>
              <w:left w:val="single" w:color="auto" w:sz="4" w:space="0"/>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bCs/>
                <w:sz w:val="24"/>
              </w:rPr>
              <w:t>综合评定</w:t>
            </w:r>
          </w:p>
        </w:tc>
        <w:tc>
          <w:tcPr>
            <w:tcW w:w="1418" w:type="dxa"/>
            <w:tcBorders>
              <w:top w:val="nil"/>
              <w:left w:val="nil"/>
              <w:bottom w:val="single" w:color="auto" w:sz="4" w:space="0"/>
              <w:right w:val="single" w:color="auto" w:sz="4" w:space="0"/>
            </w:tcBorders>
            <w:vAlign w:val="center"/>
          </w:tcPr>
          <w:p>
            <w:pPr>
              <w:widowControl/>
              <w:spacing w:line="360" w:lineRule="exact"/>
              <w:jc w:val="left"/>
              <w:rPr>
                <w:rFonts w:asciiTheme="minorEastAsia" w:hAnsiTheme="minorEastAsia" w:eastAsiaTheme="minorEastAsia"/>
                <w:sz w:val="24"/>
              </w:rPr>
            </w:pPr>
          </w:p>
        </w:tc>
        <w:tc>
          <w:tcPr>
            <w:tcW w:w="1559"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c>
          <w:tcPr>
            <w:tcW w:w="3582" w:type="dxa"/>
            <w:tcBorders>
              <w:top w:val="nil"/>
              <w:left w:val="nil"/>
              <w:bottom w:val="single" w:color="auto" w:sz="4" w:space="0"/>
              <w:right w:val="single" w:color="auto" w:sz="4" w:space="0"/>
            </w:tcBorders>
            <w:vAlign w:val="center"/>
          </w:tcPr>
          <w:p>
            <w:pPr>
              <w:widowControl/>
              <w:spacing w:line="360" w:lineRule="exact"/>
              <w:jc w:val="left"/>
              <w:rPr>
                <w:rFonts w:cs="宋体" w:asciiTheme="minorEastAsia" w:hAnsiTheme="minorEastAsia" w:eastAsiaTheme="minorEastAsia"/>
                <w:sz w:val="24"/>
              </w:rPr>
            </w:pPr>
          </w:p>
        </w:tc>
      </w:tr>
      <w:tr>
        <w:tblPrEx>
          <w:tblCellMar>
            <w:top w:w="0" w:type="dxa"/>
            <w:left w:w="108" w:type="dxa"/>
            <w:bottom w:w="0" w:type="dxa"/>
            <w:right w:w="108" w:type="dxa"/>
          </w:tblCellMar>
        </w:tblPrEx>
        <w:trPr>
          <w:trHeight w:val="535" w:hRule="atLeast"/>
          <w:jc w:val="center"/>
        </w:trPr>
        <w:tc>
          <w:tcPr>
            <w:tcW w:w="9435" w:type="dxa"/>
            <w:gridSpan w:val="4"/>
            <w:tcBorders>
              <w:top w:val="single" w:color="auto" w:sz="4" w:space="0"/>
              <w:left w:val="single" w:color="auto" w:sz="4" w:space="0"/>
              <w:bottom w:val="single" w:color="auto" w:sz="4" w:space="0"/>
              <w:right w:val="single" w:color="000000" w:sz="4" w:space="0"/>
            </w:tcBorders>
            <w:vAlign w:val="center"/>
          </w:tcPr>
          <w:p>
            <w:pPr>
              <w:widowControl/>
              <w:spacing w:line="3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说明：</w:t>
            </w:r>
            <w:r>
              <w:rPr>
                <w:rFonts w:cs="宋体" w:asciiTheme="minorEastAsia" w:hAnsiTheme="minorEastAsia" w:eastAsiaTheme="minorEastAsia"/>
                <w:sz w:val="24"/>
              </w:rPr>
              <w:t>1.合格打“√”</w:t>
            </w:r>
            <w:r>
              <w:rPr>
                <w:rFonts w:hint="eastAsia" w:ascii="宋体" w:hAnsi="宋体"/>
                <w:bCs/>
                <w:snapToGrid w:val="0"/>
                <w:sz w:val="28"/>
                <w:szCs w:val="28"/>
                <w:lang w:val="zh-CN"/>
              </w:rPr>
              <w:t>，</w:t>
            </w:r>
            <w:r>
              <w:rPr>
                <w:rFonts w:hint="eastAsia" w:cs="宋体" w:asciiTheme="minorEastAsia" w:hAnsiTheme="minorEastAsia" w:eastAsiaTheme="minorEastAsia"/>
                <w:sz w:val="24"/>
              </w:rPr>
              <w:t>不合格打“×”。</w:t>
            </w:r>
          </w:p>
          <w:p>
            <w:pPr>
              <w:widowControl/>
              <w:spacing w:line="360" w:lineRule="exact"/>
              <w:ind w:firstLine="720" w:firstLineChars="300"/>
              <w:jc w:val="left"/>
              <w:rPr>
                <w:rFonts w:cs="宋体" w:asciiTheme="minorEastAsia" w:hAnsiTheme="minorEastAsia" w:eastAsiaTheme="minorEastAsia"/>
                <w:sz w:val="24"/>
              </w:rPr>
            </w:pPr>
            <w:r>
              <w:rPr>
                <w:rFonts w:cs="宋体" w:asciiTheme="minorEastAsia" w:hAnsiTheme="minorEastAsia" w:eastAsiaTheme="minorEastAsia"/>
                <w:sz w:val="24"/>
              </w:rPr>
              <w:t>2.有一项内容不合格</w:t>
            </w:r>
            <w:r>
              <w:rPr>
                <w:rFonts w:hint="eastAsia" w:cs="宋体" w:asciiTheme="minorEastAsia" w:hAnsiTheme="minorEastAsia" w:eastAsiaTheme="minorEastAsia"/>
                <w:sz w:val="24"/>
              </w:rPr>
              <w:t>的</w:t>
            </w:r>
            <w:r>
              <w:rPr>
                <w:rFonts w:cs="宋体" w:asciiTheme="minorEastAsia" w:hAnsiTheme="minorEastAsia" w:eastAsiaTheme="minorEastAsia"/>
                <w:sz w:val="24"/>
              </w:rPr>
              <w:t>，综合评定为不合格。</w:t>
            </w:r>
          </w:p>
        </w:tc>
      </w:tr>
    </w:tbl>
    <w:p>
      <w:pPr>
        <w:spacing w:line="560" w:lineRule="exact"/>
        <w:rPr>
          <w:sz w:val="28"/>
          <w:szCs w:val="28"/>
        </w:rPr>
      </w:pPr>
      <w:r>
        <w:rPr>
          <w:rFonts w:hint="eastAsia"/>
          <w:sz w:val="28"/>
          <w:szCs w:val="28"/>
        </w:rPr>
        <w:t>评审委员会成员签名：</w:t>
      </w:r>
      <w:r>
        <w:rPr>
          <w:sz w:val="28"/>
          <w:szCs w:val="28"/>
        </w:rPr>
        <w:t xml:space="preserve">                           </w:t>
      </w:r>
      <w:bookmarkStart w:id="335" w:name="_Hlk118988921"/>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bookmarkEnd w:id="335"/>
      <w:bookmarkStart w:id="336" w:name="_Toc19558"/>
      <w:bookmarkStart w:id="337" w:name="_Toc150351567"/>
      <w:bookmarkStart w:id="338" w:name="_Toc121473163"/>
      <w:bookmarkStart w:id="339" w:name="_Toc130887807"/>
      <w:bookmarkStart w:id="340" w:name="_Toc21544"/>
      <w:bookmarkStart w:id="341" w:name="_Toc17736"/>
      <w:bookmarkStart w:id="342" w:name="_Toc154562969"/>
      <w:bookmarkStart w:id="343" w:name="_Toc128150567"/>
      <w:bookmarkStart w:id="344" w:name="_Toc132399042"/>
      <w:bookmarkStart w:id="345" w:name="_Toc20906"/>
      <w:bookmarkStart w:id="346" w:name="_Toc25996"/>
      <w:bookmarkStart w:id="347" w:name="_Toc128772332"/>
    </w:p>
    <w:p>
      <w:pPr>
        <w:rPr>
          <w:rFonts w:ascii="黑体" w:hAnsi="黑体" w:eastAsia="黑体"/>
          <w:sz w:val="28"/>
          <w:szCs w:val="28"/>
        </w:rPr>
      </w:pPr>
      <w:r>
        <w:rPr>
          <w:rFonts w:hint="eastAsia"/>
          <w:sz w:val="28"/>
          <w:szCs w:val="28"/>
        </w:rPr>
        <w:br w:type="page"/>
      </w:r>
      <w:r>
        <w:rPr>
          <w:rFonts w:hint="eastAsia" w:ascii="黑体" w:hAnsi="黑体" w:eastAsia="黑体"/>
          <w:sz w:val="28"/>
          <w:szCs w:val="28"/>
        </w:rPr>
        <w:t>附表</w:t>
      </w:r>
      <w:r>
        <w:rPr>
          <w:rFonts w:ascii="黑体" w:hAnsi="黑体" w:eastAsia="黑体"/>
          <w:sz w:val="28"/>
          <w:szCs w:val="28"/>
        </w:rPr>
        <w:t xml:space="preserve">3 </w:t>
      </w:r>
      <w:r>
        <w:rPr>
          <w:rFonts w:hint="eastAsia" w:ascii="黑体" w:hAnsi="黑体" w:eastAsia="黑体"/>
          <w:sz w:val="28"/>
          <w:szCs w:val="28"/>
        </w:rPr>
        <w:t>商务评审标准表（综合评分法）</w:t>
      </w:r>
      <w:bookmarkEnd w:id="336"/>
      <w:bookmarkEnd w:id="337"/>
      <w:bookmarkEnd w:id="338"/>
      <w:bookmarkEnd w:id="339"/>
      <w:bookmarkEnd w:id="340"/>
      <w:bookmarkEnd w:id="341"/>
      <w:bookmarkEnd w:id="342"/>
      <w:bookmarkEnd w:id="343"/>
      <w:bookmarkEnd w:id="344"/>
      <w:bookmarkEnd w:id="345"/>
      <w:bookmarkEnd w:id="346"/>
      <w:bookmarkEnd w:id="347"/>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商务评审标准表（综合评分法）</w:t>
      </w:r>
    </w:p>
    <w:tbl>
      <w:tblPr>
        <w:tblStyle w:val="13"/>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46"/>
        <w:gridCol w:w="5171"/>
        <w:gridCol w:w="709"/>
        <w:gridCol w:w="1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18" w:type="dxa"/>
            <w:noWrap/>
            <w:vAlign w:val="center"/>
          </w:tcPr>
          <w:p>
            <w:pPr>
              <w:pStyle w:val="24"/>
              <w:adjustRightInd w:val="0"/>
              <w:snapToGrid w:val="0"/>
              <w:spacing w:line="400" w:lineRule="exact"/>
              <w:jc w:val="center"/>
              <w:rPr>
                <w:rFonts w:ascii="宋体" w:hAnsi="宋体" w:cs="宋体"/>
                <w:b/>
                <w:bCs/>
              </w:rPr>
            </w:pPr>
            <w:r>
              <w:rPr>
                <w:rFonts w:hint="eastAsia" w:ascii="宋体" w:hAnsi="宋体" w:cs="宋体"/>
                <w:b/>
                <w:bCs/>
              </w:rPr>
              <w:t>序号</w:t>
            </w:r>
          </w:p>
        </w:tc>
        <w:tc>
          <w:tcPr>
            <w:tcW w:w="1246" w:type="dxa"/>
            <w:noWrap/>
            <w:vAlign w:val="center"/>
          </w:tcPr>
          <w:p>
            <w:pPr>
              <w:pStyle w:val="24"/>
              <w:adjustRightInd w:val="0"/>
              <w:snapToGrid w:val="0"/>
              <w:spacing w:line="400" w:lineRule="exact"/>
              <w:jc w:val="center"/>
              <w:rPr>
                <w:rFonts w:ascii="宋体" w:hAnsi="宋体" w:cs="宋体"/>
                <w:b/>
                <w:bCs/>
              </w:rPr>
            </w:pPr>
            <w:r>
              <w:rPr>
                <w:rFonts w:hint="eastAsia" w:ascii="宋体" w:hAnsi="宋体" w:cs="宋体"/>
                <w:b/>
                <w:bCs/>
              </w:rPr>
              <w:t>评审项目</w:t>
            </w:r>
          </w:p>
        </w:tc>
        <w:tc>
          <w:tcPr>
            <w:tcW w:w="5171" w:type="dxa"/>
            <w:noWrap/>
            <w:vAlign w:val="center"/>
          </w:tcPr>
          <w:p>
            <w:pPr>
              <w:pStyle w:val="24"/>
              <w:adjustRightInd w:val="0"/>
              <w:snapToGrid w:val="0"/>
              <w:spacing w:line="400" w:lineRule="exact"/>
              <w:jc w:val="center"/>
              <w:rPr>
                <w:rFonts w:ascii="宋体" w:hAnsi="宋体" w:cs="宋体"/>
                <w:b/>
                <w:bCs/>
              </w:rPr>
            </w:pPr>
            <w:r>
              <w:rPr>
                <w:rFonts w:hint="eastAsia" w:ascii="宋体" w:hAnsi="宋体" w:cs="宋体"/>
                <w:b/>
                <w:bCs/>
              </w:rPr>
              <w:t>评审内容及规则</w:t>
            </w:r>
          </w:p>
        </w:tc>
        <w:tc>
          <w:tcPr>
            <w:tcW w:w="709" w:type="dxa"/>
            <w:noWrap/>
            <w:vAlign w:val="center"/>
          </w:tcPr>
          <w:p>
            <w:pPr>
              <w:pStyle w:val="24"/>
              <w:adjustRightInd w:val="0"/>
              <w:snapToGrid w:val="0"/>
              <w:spacing w:line="400" w:lineRule="exact"/>
              <w:jc w:val="center"/>
              <w:rPr>
                <w:rFonts w:ascii="宋体" w:hAnsi="宋体" w:cs="宋体"/>
                <w:b/>
                <w:bCs/>
              </w:rPr>
            </w:pPr>
            <w:r>
              <w:rPr>
                <w:rFonts w:hint="eastAsia" w:ascii="宋体" w:hAnsi="宋体" w:cs="宋体"/>
                <w:b/>
                <w:bCs/>
              </w:rPr>
              <w:t>标准分值</w:t>
            </w:r>
          </w:p>
        </w:tc>
        <w:tc>
          <w:tcPr>
            <w:tcW w:w="1887" w:type="dxa"/>
            <w:noWrap/>
            <w:vAlign w:val="center"/>
          </w:tcPr>
          <w:p>
            <w:pPr>
              <w:pStyle w:val="24"/>
              <w:adjustRightInd w:val="0"/>
              <w:snapToGrid w:val="0"/>
              <w:spacing w:line="400" w:lineRule="exact"/>
              <w:jc w:val="center"/>
              <w:rPr>
                <w:rFonts w:ascii="宋体" w:hAnsi="宋体" w:cs="宋体"/>
                <w:b/>
                <w:bCs/>
              </w:rPr>
            </w:pPr>
            <w:r>
              <w:rPr>
                <w:rFonts w:hint="eastAsia" w:ascii="宋体" w:hAnsi="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restart"/>
            <w:noWrap/>
            <w:vAlign w:val="center"/>
          </w:tcPr>
          <w:p>
            <w:pPr>
              <w:pStyle w:val="24"/>
              <w:adjustRightInd w:val="0"/>
              <w:snapToGrid w:val="0"/>
              <w:spacing w:line="400" w:lineRule="exact"/>
              <w:jc w:val="center"/>
              <w:rPr>
                <w:rFonts w:ascii="宋体" w:hAnsi="宋体" w:cs="宋体"/>
              </w:rPr>
            </w:pPr>
            <w:r>
              <w:rPr>
                <w:rFonts w:hint="eastAsia" w:ascii="宋体" w:hAnsi="宋体" w:cs="宋体"/>
              </w:rPr>
              <w:t>一</w:t>
            </w:r>
          </w:p>
        </w:tc>
        <w:tc>
          <w:tcPr>
            <w:tcW w:w="1246" w:type="dxa"/>
            <w:vMerge w:val="restart"/>
            <w:noWrap/>
            <w:vAlign w:val="center"/>
          </w:tcPr>
          <w:p>
            <w:pPr>
              <w:pStyle w:val="24"/>
              <w:adjustRightInd w:val="0"/>
              <w:snapToGrid w:val="0"/>
              <w:spacing w:line="400" w:lineRule="exact"/>
              <w:jc w:val="center"/>
              <w:rPr>
                <w:rFonts w:ascii="宋体" w:hAnsi="宋体" w:cs="宋体"/>
              </w:rPr>
            </w:pPr>
            <w:r>
              <w:rPr>
                <w:rFonts w:hint="eastAsia" w:ascii="宋体" w:hAnsi="宋体" w:cs="宋体"/>
              </w:rPr>
              <w:t>产品业绩</w:t>
            </w:r>
          </w:p>
        </w:tc>
        <w:tc>
          <w:tcPr>
            <w:tcW w:w="5171" w:type="dxa"/>
            <w:vAlign w:val="center"/>
          </w:tcPr>
          <w:p>
            <w:pPr>
              <w:adjustRightInd w:val="0"/>
              <w:snapToGrid w:val="0"/>
              <w:spacing w:line="400" w:lineRule="exact"/>
              <w:ind w:firstLine="402"/>
              <w:jc w:val="left"/>
              <w:rPr>
                <w:rFonts w:ascii="宋体" w:hAnsi="宋体" w:cs="宋体"/>
              </w:rPr>
            </w:pPr>
            <w:r>
              <w:rPr>
                <w:rFonts w:hint="eastAsia" w:ascii="宋体" w:hAnsi="宋体" w:cs="宋体"/>
              </w:rPr>
              <w:t>1.比较近三年（截止开标时间）内所投产品（同品种同型号产品）在医院、院校、科研机构等的销售业绩金额。</w:t>
            </w:r>
          </w:p>
          <w:p>
            <w:pPr>
              <w:adjustRightInd w:val="0"/>
              <w:snapToGrid w:val="0"/>
              <w:spacing w:line="400" w:lineRule="exact"/>
              <w:ind w:firstLine="402"/>
              <w:jc w:val="left"/>
              <w:rPr>
                <w:rFonts w:ascii="宋体" w:hAnsi="宋体" w:cs="宋体"/>
              </w:rPr>
            </w:pPr>
            <w:r>
              <w:rPr>
                <w:rFonts w:hint="eastAsia" w:ascii="宋体" w:hAnsi="宋体" w:cs="宋体"/>
              </w:rPr>
              <w:t>以提供供应商或产品生产企业的同品种产品销售合同复印件为准，最多提供5份合同。报价文件中提供合同复印件。（与时限要求不符、总金额或数量不清晰的合同均无效，业绩为0的得0分）</w:t>
            </w:r>
          </w:p>
          <w:p>
            <w:pPr>
              <w:adjustRightInd w:val="0"/>
              <w:snapToGrid w:val="0"/>
              <w:spacing w:line="400" w:lineRule="exact"/>
              <w:ind w:firstLine="402"/>
              <w:jc w:val="left"/>
              <w:rPr>
                <w:rFonts w:ascii="宋体" w:hAnsi="宋体" w:cs="宋体"/>
              </w:rPr>
            </w:pPr>
            <w:r>
              <w:rPr>
                <w:rFonts w:hint="eastAsia" w:ascii="宋体" w:hAnsi="宋体" w:cs="宋体"/>
              </w:rPr>
              <w:t>业绩得分=（所投产品业绩/基准业绩）×标准分值</w:t>
            </w:r>
          </w:p>
        </w:tc>
        <w:tc>
          <w:tcPr>
            <w:tcW w:w="709" w:type="dxa"/>
            <w:vAlign w:val="center"/>
          </w:tcPr>
          <w:p>
            <w:pPr>
              <w:pStyle w:val="24"/>
              <w:adjustRightInd w:val="0"/>
              <w:snapToGrid w:val="0"/>
              <w:spacing w:line="400" w:lineRule="exact"/>
              <w:jc w:val="center"/>
              <w:rPr>
                <w:rFonts w:ascii="宋体" w:hAnsi="宋体" w:cs="宋体"/>
              </w:rPr>
            </w:pPr>
            <w:r>
              <w:rPr>
                <w:rFonts w:hint="eastAsia" w:ascii="宋体" w:hAnsi="宋体" w:cs="宋体"/>
              </w:rPr>
              <w:t>3</w:t>
            </w:r>
          </w:p>
        </w:tc>
        <w:tc>
          <w:tcPr>
            <w:tcW w:w="1887" w:type="dxa"/>
            <w:vAlign w:val="center"/>
          </w:tcPr>
          <w:p>
            <w:pPr>
              <w:pStyle w:val="24"/>
              <w:adjustRightInd w:val="0"/>
              <w:snapToGrid w:val="0"/>
              <w:spacing w:line="400" w:lineRule="exact"/>
              <w:jc w:val="center"/>
              <w:rPr>
                <w:rFonts w:ascii="宋体" w:hAnsi="宋体" w:cs="宋体"/>
              </w:rPr>
            </w:pPr>
            <w:r>
              <w:rPr>
                <w:rFonts w:hint="eastAsia" w:ascii="宋体" w:hAnsi="宋体" w:cs="宋体"/>
              </w:rPr>
              <w:t>基准业绩为所有投标供应商近三年内（截止开标时间）提供的有效合同累计销售金额中最高供应商的累计销售金额。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continue"/>
            <w:noWrap/>
            <w:vAlign w:val="center"/>
          </w:tcPr>
          <w:p>
            <w:pPr>
              <w:pStyle w:val="24"/>
              <w:adjustRightInd w:val="0"/>
              <w:snapToGrid w:val="0"/>
              <w:spacing w:line="400" w:lineRule="exact"/>
              <w:jc w:val="center"/>
              <w:rPr>
                <w:rFonts w:ascii="宋体" w:hAnsi="宋体" w:cs="宋体"/>
              </w:rPr>
            </w:pPr>
          </w:p>
        </w:tc>
        <w:tc>
          <w:tcPr>
            <w:tcW w:w="1246" w:type="dxa"/>
            <w:vMerge w:val="continue"/>
            <w:noWrap/>
            <w:vAlign w:val="center"/>
          </w:tcPr>
          <w:p>
            <w:pPr>
              <w:pStyle w:val="24"/>
              <w:adjustRightInd w:val="0"/>
              <w:snapToGrid w:val="0"/>
              <w:spacing w:line="400" w:lineRule="exact"/>
              <w:jc w:val="center"/>
              <w:rPr>
                <w:rFonts w:ascii="宋体" w:hAnsi="宋体" w:cs="宋体"/>
              </w:rPr>
            </w:pPr>
          </w:p>
        </w:tc>
        <w:tc>
          <w:tcPr>
            <w:tcW w:w="5171" w:type="dxa"/>
            <w:vAlign w:val="center"/>
          </w:tcPr>
          <w:p>
            <w:pPr>
              <w:adjustRightInd w:val="0"/>
              <w:snapToGrid w:val="0"/>
              <w:spacing w:line="400" w:lineRule="exact"/>
              <w:ind w:firstLine="402"/>
              <w:rPr>
                <w:rFonts w:ascii="宋体" w:hAnsi="宋体" w:cs="宋体"/>
              </w:rPr>
            </w:pPr>
            <w:r>
              <w:rPr>
                <w:rFonts w:hint="eastAsia" w:ascii="宋体" w:hAnsi="宋体" w:cs="宋体"/>
              </w:rPr>
              <w:t>2.比较近三年（截止开标时间）内所投产品（同品种同型号产品）在医院、高校、科研机构等的销售业绩数量。</w:t>
            </w:r>
          </w:p>
          <w:p>
            <w:pPr>
              <w:adjustRightInd w:val="0"/>
              <w:snapToGrid w:val="0"/>
              <w:spacing w:line="400" w:lineRule="exact"/>
              <w:ind w:firstLine="402"/>
              <w:rPr>
                <w:rFonts w:ascii="宋体" w:hAnsi="宋体" w:cs="宋体"/>
              </w:rPr>
            </w:pPr>
            <w:r>
              <w:rPr>
                <w:rFonts w:hint="eastAsia" w:ascii="宋体" w:hAnsi="宋体" w:cs="宋体"/>
              </w:rPr>
              <w:t>以提供供应商或产品生产企业的同品种产品销售合同复印件为准，最多提供5份合同。报价文件中提供合同复印件。（与时限要求不符、总金额或数量不清晰的合同均无效，业绩为0的得0分）</w:t>
            </w:r>
          </w:p>
          <w:p>
            <w:pPr>
              <w:adjustRightInd w:val="0"/>
              <w:snapToGrid w:val="0"/>
              <w:spacing w:line="400" w:lineRule="exact"/>
              <w:ind w:firstLine="402"/>
              <w:rPr>
                <w:rFonts w:ascii="宋体" w:hAnsi="宋体" w:cs="宋体"/>
              </w:rPr>
            </w:pPr>
            <w:r>
              <w:rPr>
                <w:rFonts w:hint="eastAsia" w:ascii="宋体" w:hAnsi="宋体" w:cs="宋体"/>
              </w:rPr>
              <w:t>业绩得分=（所投产品业绩/基准业绩）×标准分值</w:t>
            </w:r>
          </w:p>
        </w:tc>
        <w:tc>
          <w:tcPr>
            <w:tcW w:w="709" w:type="dxa"/>
            <w:vAlign w:val="center"/>
          </w:tcPr>
          <w:p>
            <w:pPr>
              <w:pStyle w:val="24"/>
              <w:adjustRightInd w:val="0"/>
              <w:snapToGrid w:val="0"/>
              <w:spacing w:line="400" w:lineRule="exact"/>
              <w:jc w:val="center"/>
              <w:rPr>
                <w:rFonts w:ascii="宋体" w:hAnsi="宋体" w:cs="宋体"/>
              </w:rPr>
            </w:pPr>
            <w:r>
              <w:rPr>
                <w:rFonts w:hint="eastAsia" w:ascii="宋体" w:hAnsi="宋体" w:cs="宋体"/>
              </w:rPr>
              <w:t>3</w:t>
            </w:r>
          </w:p>
        </w:tc>
        <w:tc>
          <w:tcPr>
            <w:tcW w:w="1887" w:type="dxa"/>
            <w:vAlign w:val="center"/>
          </w:tcPr>
          <w:p>
            <w:pPr>
              <w:pStyle w:val="24"/>
              <w:adjustRightInd w:val="0"/>
              <w:snapToGrid w:val="0"/>
              <w:spacing w:line="400" w:lineRule="exact"/>
              <w:jc w:val="center"/>
              <w:rPr>
                <w:rFonts w:ascii="宋体" w:hAnsi="宋体" w:cs="宋体"/>
              </w:rPr>
            </w:pPr>
            <w:r>
              <w:rPr>
                <w:rFonts w:hint="eastAsia" w:ascii="宋体" w:hAnsi="宋体" w:cs="宋体"/>
              </w:rPr>
              <w:t>基准业绩为所有投标供应商近三年内（截止开标时间）提供的有效合同累计销售数量中最高供应商的累计销售数量。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continue"/>
            <w:noWrap/>
            <w:vAlign w:val="center"/>
          </w:tcPr>
          <w:p>
            <w:pPr>
              <w:pStyle w:val="24"/>
              <w:adjustRightInd w:val="0"/>
              <w:snapToGrid w:val="0"/>
              <w:spacing w:line="400" w:lineRule="exact"/>
              <w:jc w:val="center"/>
              <w:rPr>
                <w:rFonts w:ascii="宋体" w:hAnsi="宋体" w:cs="宋体"/>
              </w:rPr>
            </w:pPr>
          </w:p>
        </w:tc>
        <w:tc>
          <w:tcPr>
            <w:tcW w:w="1246" w:type="dxa"/>
            <w:vMerge w:val="continue"/>
            <w:noWrap/>
            <w:vAlign w:val="center"/>
          </w:tcPr>
          <w:p>
            <w:pPr>
              <w:pStyle w:val="24"/>
              <w:adjustRightInd w:val="0"/>
              <w:snapToGrid w:val="0"/>
              <w:spacing w:line="400" w:lineRule="exact"/>
              <w:jc w:val="center"/>
              <w:rPr>
                <w:rFonts w:ascii="宋体" w:hAnsi="宋体" w:cs="宋体"/>
              </w:rPr>
            </w:pPr>
          </w:p>
        </w:tc>
        <w:tc>
          <w:tcPr>
            <w:tcW w:w="5171" w:type="dxa"/>
            <w:vAlign w:val="center"/>
          </w:tcPr>
          <w:p>
            <w:pPr>
              <w:widowControl/>
              <w:adjustRightInd w:val="0"/>
              <w:snapToGrid w:val="0"/>
              <w:spacing w:line="400" w:lineRule="exact"/>
              <w:jc w:val="left"/>
              <w:rPr>
                <w:rFonts w:hint="eastAsia" w:ascii="宋体" w:hAnsi="宋体" w:cs="宋体"/>
              </w:rPr>
            </w:pPr>
            <w:r>
              <w:rPr>
                <w:rFonts w:hint="eastAsia" w:ascii="宋体" w:hAnsi="宋体" w:cs="宋体"/>
              </w:rPr>
              <w:t>说明</w:t>
            </w:r>
            <w:r>
              <w:rPr>
                <w:rFonts w:hint="eastAsia" w:ascii="宋体" w:hAnsi="宋体" w:cs="宋体"/>
              </w:rPr>
              <w:t>：</w:t>
            </w:r>
          </w:p>
          <w:p>
            <w:pPr>
              <w:widowControl/>
              <w:adjustRightInd w:val="0"/>
              <w:snapToGrid w:val="0"/>
              <w:spacing w:line="400" w:lineRule="exact"/>
              <w:jc w:val="left"/>
              <w:rPr>
                <w:rFonts w:hint="eastAsia" w:ascii="宋体" w:hAnsi="宋体" w:cs="宋体"/>
              </w:rPr>
            </w:pPr>
            <w:r>
              <w:rPr>
                <w:rFonts w:hint="eastAsia" w:ascii="宋体" w:hAnsi="宋体" w:cs="宋体"/>
              </w:rPr>
              <w:t>1.时间或类别不符合要求、总金额或数量不清晰</w:t>
            </w:r>
            <w:r>
              <w:rPr>
                <w:rFonts w:hint="eastAsia" w:ascii="宋体" w:hAnsi="宋体" w:cs="宋体"/>
              </w:rPr>
              <w:t>或业绩为0的得0分</w:t>
            </w:r>
            <w:r>
              <w:rPr>
                <w:rFonts w:hint="eastAsia" w:ascii="宋体" w:hAnsi="宋体" w:cs="宋体"/>
              </w:rPr>
              <w:t>。</w:t>
            </w:r>
          </w:p>
          <w:p>
            <w:pPr>
              <w:widowControl/>
              <w:adjustRightInd w:val="0"/>
              <w:snapToGrid w:val="0"/>
              <w:spacing w:line="400" w:lineRule="exact"/>
              <w:jc w:val="left"/>
              <w:rPr>
                <w:rFonts w:hint="eastAsia" w:ascii="宋体" w:hAnsi="宋体" w:cs="宋体"/>
              </w:rPr>
            </w:pPr>
            <w:r>
              <w:rPr>
                <w:rFonts w:hint="eastAsia" w:ascii="宋体" w:hAnsi="宋体" w:cs="宋体"/>
              </w:rPr>
              <w:t>2.销售合同复印件含合同首页、标的清单页、金额页、合同缔约双方签字盖章页。</w:t>
            </w:r>
          </w:p>
          <w:p>
            <w:pPr>
              <w:widowControl/>
              <w:adjustRightInd w:val="0"/>
              <w:snapToGrid w:val="0"/>
              <w:spacing w:line="400" w:lineRule="exact"/>
              <w:jc w:val="left"/>
              <w:rPr>
                <w:rFonts w:ascii="宋体" w:hAnsi="宋体" w:cs="宋体"/>
              </w:rPr>
            </w:pPr>
            <w:r>
              <w:rPr>
                <w:rFonts w:hint="eastAsia" w:ascii="宋体" w:hAnsi="宋体" w:cs="宋体"/>
              </w:rPr>
              <w:t>3.第1项</w:t>
            </w:r>
            <w:r>
              <w:rPr>
                <w:rFonts w:ascii="宋体" w:hAnsi="宋体" w:cs="宋体"/>
              </w:rPr>
              <w:t>和第2项的每份合同只</w:t>
            </w:r>
            <w:r>
              <w:rPr>
                <w:rFonts w:hint="eastAsia" w:ascii="宋体" w:hAnsi="宋体" w:cs="宋体"/>
              </w:rPr>
              <w:t>能</w:t>
            </w:r>
            <w:r>
              <w:rPr>
                <w:rFonts w:ascii="宋体" w:hAnsi="宋体" w:cs="宋体"/>
              </w:rPr>
              <w:t>计算一次</w:t>
            </w:r>
            <w:r>
              <w:rPr>
                <w:rFonts w:hint="eastAsia" w:ascii="宋体" w:hAnsi="宋体" w:cs="宋体"/>
              </w:rPr>
              <w:t>，不能重复使用</w:t>
            </w:r>
          </w:p>
        </w:tc>
        <w:tc>
          <w:tcPr>
            <w:tcW w:w="709" w:type="dxa"/>
            <w:vAlign w:val="center"/>
          </w:tcPr>
          <w:p>
            <w:pPr>
              <w:pStyle w:val="24"/>
              <w:adjustRightInd w:val="0"/>
              <w:snapToGrid w:val="0"/>
              <w:spacing w:line="400" w:lineRule="exact"/>
              <w:jc w:val="center"/>
              <w:rPr>
                <w:rFonts w:ascii="宋体" w:hAnsi="宋体" w:cs="宋体"/>
              </w:rPr>
            </w:pPr>
          </w:p>
        </w:tc>
        <w:tc>
          <w:tcPr>
            <w:tcW w:w="1887" w:type="dxa"/>
            <w:vAlign w:val="center"/>
          </w:tcPr>
          <w:p>
            <w:pPr>
              <w:pStyle w:val="24"/>
              <w:adjustRightInd w:val="0"/>
              <w:snapToGrid w:val="0"/>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8" w:type="dxa"/>
            <w:vMerge w:val="restart"/>
            <w:noWrap/>
            <w:vAlign w:val="center"/>
          </w:tcPr>
          <w:p>
            <w:pPr>
              <w:pStyle w:val="24"/>
              <w:adjustRightInd w:val="0"/>
              <w:snapToGrid w:val="0"/>
              <w:spacing w:line="400" w:lineRule="exact"/>
              <w:jc w:val="center"/>
              <w:rPr>
                <w:rFonts w:ascii="宋体" w:hAnsi="宋体" w:cs="宋体"/>
              </w:rPr>
            </w:pPr>
            <w:r>
              <w:rPr>
                <w:rFonts w:hint="eastAsia" w:ascii="宋体" w:hAnsi="宋体" w:cs="宋体"/>
              </w:rPr>
              <w:t>二</w:t>
            </w:r>
          </w:p>
        </w:tc>
        <w:tc>
          <w:tcPr>
            <w:tcW w:w="1246" w:type="dxa"/>
            <w:vMerge w:val="restart"/>
            <w:noWrap/>
            <w:vAlign w:val="center"/>
          </w:tcPr>
          <w:p>
            <w:pPr>
              <w:pStyle w:val="24"/>
              <w:adjustRightInd w:val="0"/>
              <w:snapToGrid w:val="0"/>
              <w:spacing w:line="400" w:lineRule="exact"/>
              <w:jc w:val="center"/>
              <w:rPr>
                <w:rFonts w:ascii="宋体" w:hAnsi="宋体" w:cs="宋体"/>
              </w:rPr>
            </w:pPr>
            <w:r>
              <w:rPr>
                <w:rFonts w:hint="eastAsia" w:ascii="宋体" w:hAnsi="宋体" w:cs="宋体"/>
              </w:rPr>
              <w:t>企业规模</w:t>
            </w:r>
          </w:p>
        </w:tc>
        <w:tc>
          <w:tcPr>
            <w:tcW w:w="5171" w:type="dxa"/>
            <w:vAlign w:val="center"/>
          </w:tcPr>
          <w:p>
            <w:pPr>
              <w:widowControl/>
              <w:adjustRightInd w:val="0"/>
              <w:snapToGrid w:val="0"/>
              <w:spacing w:line="400" w:lineRule="exact"/>
              <w:jc w:val="left"/>
              <w:rPr>
                <w:rFonts w:ascii="宋体" w:hAnsi="宋体" w:cs="宋体"/>
              </w:rPr>
            </w:pPr>
            <w:r>
              <w:rPr>
                <w:rFonts w:hint="eastAsia" w:ascii="宋体" w:hAnsi="宋体" w:cs="宋体"/>
              </w:rPr>
              <w:t>1．根据投标报价企业上年度纳税总金额评分，排名第一的得标准分，其余依次按标准分值25%递减，最低分为0分；（根据税务部门出具的完税凭证或纳税的银行转账汇款单、对账单等判定。）</w:t>
            </w:r>
          </w:p>
        </w:tc>
        <w:tc>
          <w:tcPr>
            <w:tcW w:w="709" w:type="dxa"/>
            <w:noWrap/>
            <w:vAlign w:val="center"/>
          </w:tcPr>
          <w:p>
            <w:pPr>
              <w:pStyle w:val="24"/>
              <w:adjustRightInd w:val="0"/>
              <w:snapToGrid w:val="0"/>
              <w:spacing w:line="400" w:lineRule="exact"/>
              <w:jc w:val="center"/>
              <w:rPr>
                <w:rFonts w:ascii="宋体" w:hAnsi="宋体" w:cs="宋体"/>
              </w:rPr>
            </w:pPr>
            <w:r>
              <w:rPr>
                <w:rFonts w:hint="eastAsia" w:ascii="宋体" w:hAnsi="宋体" w:cs="宋体"/>
              </w:rPr>
              <w:t>1</w:t>
            </w:r>
          </w:p>
        </w:tc>
        <w:tc>
          <w:tcPr>
            <w:tcW w:w="1887" w:type="dxa"/>
            <w:vMerge w:val="restart"/>
            <w:noWrap/>
            <w:vAlign w:val="center"/>
          </w:tcPr>
          <w:p>
            <w:pPr>
              <w:pStyle w:val="24"/>
              <w:adjustRightInd w:val="0"/>
              <w:snapToGrid w:val="0"/>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vMerge w:val="continue"/>
            <w:noWrap/>
            <w:vAlign w:val="center"/>
          </w:tcPr>
          <w:p>
            <w:pPr>
              <w:pStyle w:val="24"/>
              <w:adjustRightInd w:val="0"/>
              <w:snapToGrid w:val="0"/>
              <w:spacing w:line="400" w:lineRule="exact"/>
              <w:jc w:val="center"/>
              <w:rPr>
                <w:rFonts w:ascii="宋体" w:hAnsi="宋体" w:cs="宋体"/>
              </w:rPr>
            </w:pPr>
          </w:p>
        </w:tc>
        <w:tc>
          <w:tcPr>
            <w:tcW w:w="1246" w:type="dxa"/>
            <w:vMerge w:val="continue"/>
            <w:noWrap/>
            <w:vAlign w:val="center"/>
          </w:tcPr>
          <w:p>
            <w:pPr>
              <w:pStyle w:val="24"/>
              <w:adjustRightInd w:val="0"/>
              <w:snapToGrid w:val="0"/>
              <w:spacing w:line="400" w:lineRule="exact"/>
              <w:jc w:val="center"/>
              <w:rPr>
                <w:rFonts w:ascii="宋体" w:hAnsi="宋体" w:cs="宋体"/>
              </w:rPr>
            </w:pPr>
          </w:p>
        </w:tc>
        <w:tc>
          <w:tcPr>
            <w:tcW w:w="5171" w:type="dxa"/>
            <w:vAlign w:val="center"/>
          </w:tcPr>
          <w:p>
            <w:pPr>
              <w:widowControl/>
              <w:adjustRightInd w:val="0"/>
              <w:snapToGrid w:val="0"/>
              <w:spacing w:line="400" w:lineRule="exact"/>
              <w:jc w:val="left"/>
              <w:rPr>
                <w:rFonts w:ascii="宋体" w:hAnsi="宋体" w:cs="宋体"/>
              </w:rPr>
            </w:pPr>
            <w:r>
              <w:rPr>
                <w:rFonts w:hint="eastAsia" w:ascii="宋体" w:hAnsi="宋体" w:cs="宋体"/>
              </w:rPr>
              <w:t>2.根据报价产品生产企业近三个月内任意一个月缴纳社保的人员数量由多至少排名，第一名得标准分，其余依次按标准分值25%递减，最低分为0分</w:t>
            </w:r>
          </w:p>
        </w:tc>
        <w:tc>
          <w:tcPr>
            <w:tcW w:w="709" w:type="dxa"/>
            <w:noWrap/>
            <w:vAlign w:val="center"/>
          </w:tcPr>
          <w:p>
            <w:pPr>
              <w:pStyle w:val="24"/>
              <w:adjustRightInd w:val="0"/>
              <w:snapToGrid w:val="0"/>
              <w:spacing w:line="400" w:lineRule="exact"/>
              <w:jc w:val="center"/>
              <w:rPr>
                <w:rFonts w:ascii="宋体" w:hAnsi="宋体" w:cs="宋体"/>
              </w:rPr>
            </w:pPr>
            <w:r>
              <w:rPr>
                <w:rFonts w:hint="eastAsia" w:ascii="宋体" w:hAnsi="宋体" w:cs="宋体"/>
                <w:sz w:val="20"/>
                <w:szCs w:val="20"/>
              </w:rPr>
              <w:t>1</w:t>
            </w:r>
          </w:p>
        </w:tc>
        <w:tc>
          <w:tcPr>
            <w:tcW w:w="1887" w:type="dxa"/>
            <w:vMerge w:val="continue"/>
            <w:noWrap/>
            <w:vAlign w:val="center"/>
          </w:tcPr>
          <w:p>
            <w:pPr>
              <w:pStyle w:val="24"/>
              <w:adjustRightInd w:val="0"/>
              <w:snapToGrid w:val="0"/>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718" w:type="dxa"/>
            <w:tcBorders>
              <w:top w:val="single" w:color="auto" w:sz="4" w:space="0"/>
              <w:left w:val="single" w:color="auto" w:sz="4" w:space="0"/>
              <w:bottom w:val="single" w:color="auto" w:sz="4" w:space="0"/>
              <w:right w:val="single" w:color="auto" w:sz="4" w:space="0"/>
            </w:tcBorders>
            <w:noWrap/>
            <w:vAlign w:val="center"/>
          </w:tcPr>
          <w:p>
            <w:pPr>
              <w:pStyle w:val="24"/>
              <w:adjustRightInd w:val="0"/>
              <w:snapToGrid w:val="0"/>
              <w:spacing w:line="400" w:lineRule="exact"/>
              <w:jc w:val="center"/>
              <w:rPr>
                <w:rFonts w:ascii="宋体" w:hAnsi="宋体" w:cs="宋体"/>
              </w:rPr>
            </w:pPr>
            <w:r>
              <w:rPr>
                <w:rFonts w:hint="eastAsia" w:ascii="宋体" w:hAnsi="宋体" w:cs="宋体"/>
              </w:rPr>
              <w:t>三</w:t>
            </w:r>
          </w:p>
        </w:tc>
        <w:tc>
          <w:tcPr>
            <w:tcW w:w="1246" w:type="dxa"/>
            <w:tcBorders>
              <w:top w:val="single" w:color="auto" w:sz="4" w:space="0"/>
              <w:left w:val="single" w:color="auto" w:sz="4" w:space="0"/>
              <w:bottom w:val="single" w:color="auto" w:sz="4" w:space="0"/>
              <w:right w:val="single" w:color="auto" w:sz="4" w:space="0"/>
            </w:tcBorders>
            <w:noWrap/>
            <w:vAlign w:val="center"/>
          </w:tcPr>
          <w:p>
            <w:pPr>
              <w:pStyle w:val="24"/>
              <w:adjustRightInd w:val="0"/>
              <w:snapToGrid w:val="0"/>
              <w:spacing w:line="400" w:lineRule="exact"/>
              <w:jc w:val="center"/>
              <w:rPr>
                <w:rFonts w:ascii="宋体" w:hAnsi="宋体" w:cs="宋体"/>
              </w:rPr>
            </w:pPr>
            <w:r>
              <w:rPr>
                <w:rFonts w:hint="eastAsia" w:ascii="宋体" w:hAnsi="宋体" w:cs="宋体"/>
              </w:rPr>
              <w:t>信誉</w:t>
            </w:r>
          </w:p>
        </w:tc>
        <w:tc>
          <w:tcPr>
            <w:tcW w:w="517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400" w:lineRule="exact"/>
              <w:jc w:val="left"/>
              <w:rPr>
                <w:rFonts w:ascii="宋体" w:hAnsi="宋体" w:cs="宋体"/>
                <w:lang w:bidi="ar"/>
              </w:rPr>
            </w:pPr>
            <w:r>
              <w:rPr>
                <w:rFonts w:hint="eastAsia" w:ascii="宋体" w:hAnsi="宋体" w:cs="宋体"/>
                <w:lang w:bidi="ar"/>
              </w:rPr>
              <w:t>1.</w:t>
            </w:r>
            <w:r>
              <w:rPr>
                <w:rFonts w:hint="eastAsia" w:ascii="宋体" w:hAnsi="宋体" w:cs="宋体"/>
              </w:rPr>
              <w:t>投标报价企业</w:t>
            </w:r>
            <w:r>
              <w:rPr>
                <w:rFonts w:hint="eastAsia" w:ascii="宋体" w:hAnsi="宋体" w:cs="宋体"/>
                <w:lang w:bidi="ar"/>
              </w:rPr>
              <w:t>近三年连续获得税务部门颁发的企业纳税信用A级评价证书的得标准分，获得过两次的得标准分的50%，获得过一次的得标准分的25%，没有得0分；事业单位无纳税信用A级评价证书的，可提供上年度12个月纳税凭证，得标准分；（网上公示的，须提供截图和查询网址）</w:t>
            </w:r>
          </w:p>
        </w:tc>
        <w:tc>
          <w:tcPr>
            <w:tcW w:w="709" w:type="dxa"/>
            <w:tcBorders>
              <w:top w:val="single" w:color="auto" w:sz="4" w:space="0"/>
              <w:left w:val="single" w:color="auto" w:sz="4" w:space="0"/>
              <w:bottom w:val="single" w:color="auto" w:sz="4" w:space="0"/>
              <w:right w:val="single" w:color="auto" w:sz="4" w:space="0"/>
            </w:tcBorders>
            <w:noWrap/>
            <w:vAlign w:val="center"/>
          </w:tcPr>
          <w:p>
            <w:pPr>
              <w:pStyle w:val="24"/>
              <w:adjustRightInd w:val="0"/>
              <w:snapToGrid w:val="0"/>
              <w:spacing w:line="400" w:lineRule="exact"/>
              <w:jc w:val="center"/>
              <w:rPr>
                <w:rFonts w:ascii="宋体" w:hAnsi="宋体" w:cs="宋体"/>
              </w:rPr>
            </w:pPr>
            <w:r>
              <w:rPr>
                <w:rFonts w:hint="eastAsia" w:ascii="宋体" w:hAnsi="宋体" w:cs="宋体"/>
              </w:rPr>
              <w:t>2</w:t>
            </w:r>
          </w:p>
        </w:tc>
        <w:tc>
          <w:tcPr>
            <w:tcW w:w="1887" w:type="dxa"/>
            <w:tcBorders>
              <w:top w:val="single" w:color="auto" w:sz="4" w:space="0"/>
              <w:left w:val="single" w:color="auto" w:sz="4" w:space="0"/>
              <w:bottom w:val="single" w:color="auto" w:sz="4" w:space="0"/>
            </w:tcBorders>
            <w:noWrap/>
            <w:vAlign w:val="center"/>
          </w:tcPr>
          <w:p>
            <w:pPr>
              <w:pStyle w:val="24"/>
              <w:adjustRightInd w:val="0"/>
              <w:snapToGrid w:val="0"/>
              <w:spacing w:line="400" w:lineRule="exact"/>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7135" w:type="dxa"/>
            <w:gridSpan w:val="3"/>
            <w:noWrap/>
            <w:vAlign w:val="center"/>
          </w:tcPr>
          <w:p>
            <w:pPr>
              <w:pStyle w:val="24"/>
              <w:adjustRightInd w:val="0"/>
              <w:snapToGrid w:val="0"/>
              <w:spacing w:line="400" w:lineRule="exact"/>
              <w:jc w:val="center"/>
              <w:rPr>
                <w:rFonts w:ascii="宋体" w:hAnsi="宋体" w:cs="宋体"/>
              </w:rPr>
            </w:pPr>
            <w:r>
              <w:rPr>
                <w:rFonts w:hint="eastAsia" w:ascii="宋体" w:hAnsi="宋体" w:cs="宋体"/>
                <w:b/>
                <w:bCs/>
              </w:rPr>
              <w:t>合    计</w:t>
            </w:r>
          </w:p>
        </w:tc>
        <w:tc>
          <w:tcPr>
            <w:tcW w:w="709" w:type="dxa"/>
            <w:noWrap/>
            <w:vAlign w:val="center"/>
          </w:tcPr>
          <w:p>
            <w:pPr>
              <w:jc w:val="center"/>
            </w:pPr>
            <w:r>
              <w:rPr>
                <w:rFonts w:hint="eastAsia" w:ascii="宋体" w:hAnsi="宋体" w:cs="宋体"/>
              </w:rPr>
              <w:t>10</w:t>
            </w:r>
          </w:p>
        </w:tc>
        <w:tc>
          <w:tcPr>
            <w:tcW w:w="1887" w:type="dxa"/>
            <w:noWrap/>
            <w:vAlign w:val="center"/>
          </w:tcPr>
          <w:p>
            <w:pPr>
              <w:pStyle w:val="24"/>
              <w:adjustRightInd w:val="0"/>
              <w:snapToGrid w:val="0"/>
              <w:spacing w:line="400" w:lineRule="exact"/>
              <w:jc w:val="center"/>
              <w:rPr>
                <w:rFonts w:ascii="宋体" w:hAnsi="宋体" w:cs="宋体"/>
              </w:rPr>
            </w:pPr>
          </w:p>
        </w:tc>
      </w:tr>
    </w:tbl>
    <w:p>
      <w:pPr>
        <w:pStyle w:val="5"/>
        <w:spacing w:before="120" w:beforeLines="50" w:after="120" w:afterLines="50" w:line="560" w:lineRule="exact"/>
        <w:rPr>
          <w:rFonts w:ascii="黑体" w:hAnsi="黑体"/>
          <w:b w:val="0"/>
          <w:sz w:val="28"/>
          <w:szCs w:val="28"/>
        </w:rPr>
      </w:pPr>
      <w:r>
        <w:rPr>
          <w:b w:val="0"/>
        </w:rPr>
        <w:br w:type="page"/>
      </w:r>
    </w:p>
    <w:p>
      <w:pPr>
        <w:spacing w:before="120" w:beforeLines="50" w:after="120" w:afterLines="50" w:line="560" w:lineRule="exact"/>
        <w:jc w:val="left"/>
        <w:rPr>
          <w:rFonts w:ascii="黑体" w:hAnsi="黑体" w:eastAsia="黑体" w:cs="黑体"/>
          <w:bCs/>
          <w:sz w:val="28"/>
          <w:szCs w:val="28"/>
        </w:rPr>
      </w:pPr>
      <w:r>
        <w:rPr>
          <w:rFonts w:hint="eastAsia" w:ascii="黑体" w:hAnsi="黑体" w:eastAsia="黑体" w:cs="黑体"/>
          <w:bCs/>
          <w:sz w:val="28"/>
          <w:szCs w:val="28"/>
        </w:rPr>
        <w:t>附表4 技术评审标准表（综合评分法）</w:t>
      </w:r>
    </w:p>
    <w:p>
      <w:pPr>
        <w:spacing w:before="120" w:beforeLines="50" w:after="120" w:afterLines="50" w:line="560" w:lineRule="exact"/>
        <w:jc w:val="center"/>
        <w:rPr>
          <w:rFonts w:ascii="黑体" w:hAnsi="黑体" w:eastAsia="黑体"/>
          <w:sz w:val="28"/>
          <w:szCs w:val="28"/>
        </w:rPr>
      </w:pPr>
      <w:r>
        <w:rPr>
          <w:rFonts w:hint="eastAsia" w:ascii="黑体" w:hAnsi="黑体" w:eastAsia="黑体" w:cs="黑体"/>
          <w:bCs/>
          <w:sz w:val="36"/>
          <w:szCs w:val="36"/>
        </w:rPr>
        <w:t>技术评审标准表（综合评分法）</w:t>
      </w:r>
      <w:bookmarkStart w:id="348" w:name="_Toc18491"/>
      <w:bookmarkStart w:id="349" w:name="_Toc28213"/>
      <w:bookmarkStart w:id="350" w:name="_Toc30895"/>
      <w:bookmarkStart w:id="351" w:name="_Toc27422"/>
      <w:bookmarkStart w:id="352" w:name="_Toc121473165"/>
      <w:bookmarkStart w:id="353" w:name="_Toc20462"/>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202"/>
        <w:gridCol w:w="621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noWrap/>
            <w:vAlign w:val="center"/>
          </w:tcPr>
          <w:p>
            <w:pPr>
              <w:pStyle w:val="24"/>
              <w:adjustRightInd w:val="0"/>
              <w:snapToGrid w:val="0"/>
              <w:spacing w:line="400" w:lineRule="exact"/>
              <w:jc w:val="center"/>
              <w:rPr>
                <w:rFonts w:ascii="Times New Roman" w:hAnsi="Times New Roman" w:cs="Times New Roman"/>
                <w:b/>
                <w:bCs/>
                <w:sz w:val="24"/>
                <w:szCs w:val="24"/>
              </w:rPr>
            </w:pPr>
            <w:r>
              <w:rPr>
                <w:rFonts w:ascii="Times New Roman" w:hAnsi="Times New Roman" w:cs="Times New Roman"/>
                <w:b/>
                <w:bCs/>
                <w:sz w:val="24"/>
                <w:szCs w:val="24"/>
              </w:rPr>
              <w:t>序号</w:t>
            </w:r>
          </w:p>
        </w:tc>
        <w:tc>
          <w:tcPr>
            <w:tcW w:w="1202" w:type="dxa"/>
            <w:noWrap/>
            <w:vAlign w:val="center"/>
          </w:tcPr>
          <w:p>
            <w:pPr>
              <w:pStyle w:val="24"/>
              <w:adjustRightInd w:val="0"/>
              <w:snapToGrid w:val="0"/>
              <w:spacing w:line="400" w:lineRule="exact"/>
              <w:jc w:val="center"/>
              <w:rPr>
                <w:rFonts w:ascii="Times New Roman" w:hAnsi="Times New Roman" w:cs="Times New Roman"/>
                <w:b/>
                <w:bCs/>
                <w:sz w:val="24"/>
                <w:szCs w:val="24"/>
              </w:rPr>
            </w:pPr>
            <w:r>
              <w:rPr>
                <w:rFonts w:ascii="Times New Roman" w:hAnsi="Times New Roman" w:cs="Times New Roman"/>
                <w:b/>
                <w:bCs/>
                <w:sz w:val="24"/>
                <w:szCs w:val="24"/>
              </w:rPr>
              <w:t>评审项目</w:t>
            </w:r>
          </w:p>
        </w:tc>
        <w:tc>
          <w:tcPr>
            <w:tcW w:w="6211" w:type="dxa"/>
            <w:noWrap/>
            <w:vAlign w:val="center"/>
          </w:tcPr>
          <w:p>
            <w:pPr>
              <w:pStyle w:val="24"/>
              <w:adjustRightInd w:val="0"/>
              <w:snapToGrid w:val="0"/>
              <w:spacing w:line="400" w:lineRule="exact"/>
              <w:jc w:val="center"/>
              <w:rPr>
                <w:rFonts w:ascii="Times New Roman" w:hAnsi="Times New Roman" w:cs="Times New Roman"/>
                <w:b/>
                <w:bCs/>
                <w:sz w:val="24"/>
                <w:szCs w:val="24"/>
              </w:rPr>
            </w:pPr>
            <w:r>
              <w:rPr>
                <w:rFonts w:ascii="Times New Roman" w:hAnsi="Times New Roman" w:cs="Times New Roman"/>
                <w:b/>
                <w:bCs/>
                <w:sz w:val="24"/>
                <w:szCs w:val="24"/>
              </w:rPr>
              <w:t>评审内容及规则</w:t>
            </w:r>
          </w:p>
        </w:tc>
        <w:tc>
          <w:tcPr>
            <w:tcW w:w="1176" w:type="dxa"/>
            <w:noWrap/>
            <w:vAlign w:val="center"/>
          </w:tcPr>
          <w:p>
            <w:pPr>
              <w:pStyle w:val="24"/>
              <w:adjustRightInd w:val="0"/>
              <w:snapToGrid w:val="0"/>
              <w:spacing w:line="400" w:lineRule="exact"/>
              <w:jc w:val="center"/>
              <w:rPr>
                <w:rFonts w:ascii="Times New Roman" w:hAnsi="Times New Roman" w:cs="Times New Roman"/>
                <w:b/>
                <w:bCs/>
                <w:sz w:val="24"/>
                <w:szCs w:val="24"/>
              </w:rPr>
            </w:pPr>
            <w:r>
              <w:rPr>
                <w:rFonts w:ascii="Times New Roman" w:hAnsi="Times New Roman" w:cs="Times New Roman"/>
                <w:b/>
                <w:bCs/>
                <w:sz w:val="24"/>
                <w:szCs w:val="24"/>
              </w:rPr>
              <w:t>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restart"/>
            <w:noWrap/>
            <w:vAlign w:val="center"/>
          </w:tcPr>
          <w:p>
            <w:pPr>
              <w:pStyle w:val="24"/>
              <w:adjustRightInd w:val="0"/>
              <w:snapToGrid w:val="0"/>
              <w:spacing w:line="400" w:lineRule="exact"/>
              <w:jc w:val="center"/>
              <w:rPr>
                <w:rFonts w:ascii="Times New Roman" w:hAnsi="Times New Roman" w:cs="Times New Roman"/>
              </w:rPr>
            </w:pPr>
            <w:r>
              <w:rPr>
                <w:rFonts w:ascii="Times New Roman" w:hAnsi="Times New Roman" w:cs="Times New Roman"/>
              </w:rPr>
              <w:t>一</w:t>
            </w:r>
          </w:p>
        </w:tc>
        <w:tc>
          <w:tcPr>
            <w:tcW w:w="1202" w:type="dxa"/>
            <w:vMerge w:val="restart"/>
            <w:vAlign w:val="center"/>
          </w:tcPr>
          <w:p>
            <w:pPr>
              <w:pStyle w:val="24"/>
              <w:adjustRightInd w:val="0"/>
              <w:snapToGrid w:val="0"/>
              <w:spacing w:line="400" w:lineRule="exact"/>
              <w:jc w:val="center"/>
              <w:rPr>
                <w:rFonts w:ascii="Times New Roman" w:hAnsi="Times New Roman" w:cs="Times New Roman"/>
              </w:rPr>
            </w:pPr>
            <w:r>
              <w:rPr>
                <w:rFonts w:ascii="Times New Roman" w:hAnsi="Times New Roman" w:cs="Times New Roman"/>
              </w:rPr>
              <w:t>技术力量</w:t>
            </w:r>
          </w:p>
        </w:tc>
        <w:tc>
          <w:tcPr>
            <w:tcW w:w="6211" w:type="dxa"/>
            <w:vAlign w:val="center"/>
          </w:tcPr>
          <w:p>
            <w:pPr>
              <w:adjustRightInd w:val="0"/>
              <w:snapToGrid w:val="0"/>
              <w:spacing w:line="400" w:lineRule="exact"/>
              <w:ind w:firstLine="402"/>
              <w:rPr>
                <w:rFonts w:ascii="Times New Roman" w:hAnsi="Times New Roman" w:cs="Times New Roman"/>
              </w:rPr>
            </w:pPr>
            <w:r>
              <w:rPr>
                <w:rFonts w:ascii="Times New Roman" w:hAnsi="Times New Roman" w:cs="Times New Roman"/>
              </w:rPr>
              <w:t>1.根据所投产品相关的发明专利证书数量由多至少排序，排名第一的得标准分，其余依次按标准分值25%递减，最低分为0分；（非所投产品专利无效）</w:t>
            </w:r>
          </w:p>
        </w:tc>
        <w:tc>
          <w:tcPr>
            <w:tcW w:w="1176" w:type="dxa"/>
            <w:noWrap/>
            <w:vAlign w:val="center"/>
          </w:tcPr>
          <w:p>
            <w:pPr>
              <w:adjustRightInd w:val="0"/>
              <w:snapToGrid w:val="0"/>
              <w:spacing w:line="400" w:lineRule="exact"/>
              <w:jc w:val="center"/>
              <w:rPr>
                <w:rFonts w:hint="eastAsia" w:ascii="Times New Roman" w:hAnsi="Times New Roman" w:cs="Times New Roman"/>
              </w:rPr>
            </w:pPr>
            <w:r>
              <w:rPr>
                <w:rFonts w:hint="eastAsia" w:ascii="Times New Roman" w:hAnsi="Times New Roman"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.所投产品具有CE认证</w:t>
            </w:r>
            <w:r>
              <w:rPr>
                <w:rFonts w:hint="eastAsia" w:ascii="Times New Roman" w:hAnsi="Times New Roman" w:cs="Times New Roman"/>
              </w:rPr>
              <w:t>或</w:t>
            </w:r>
            <w:r>
              <w:rPr>
                <w:rFonts w:ascii="Times New Roman" w:hAnsi="Times New Roman" w:cs="Times New Roman"/>
              </w:rPr>
              <w:t>FDA认证的得标准分，没有得0分；（中文译文）</w:t>
            </w:r>
          </w:p>
        </w:tc>
        <w:tc>
          <w:tcPr>
            <w:tcW w:w="1176" w:type="dxa"/>
            <w:noWrap/>
            <w:vAlign w:val="center"/>
          </w:tcPr>
          <w:p>
            <w:pPr>
              <w:adjustRightInd w:val="0"/>
              <w:snapToGrid w:val="0"/>
              <w:spacing w:line="400" w:lineRule="exact"/>
              <w:jc w:val="center"/>
              <w:rPr>
                <w:rFonts w:hint="eastAsia" w:ascii="Times New Roman" w:hAnsi="Times New Roman" w:cs="Times New Roman"/>
              </w:rPr>
            </w:pPr>
            <w:r>
              <w:rPr>
                <w:rFonts w:hint="eastAsia" w:ascii="Times New Roman" w:hAnsi="Times New Roman" w:cs="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restart"/>
            <w:noWrap/>
            <w:vAlign w:val="center"/>
          </w:tcPr>
          <w:p>
            <w:pPr>
              <w:pStyle w:val="24"/>
              <w:adjustRightInd w:val="0"/>
              <w:snapToGrid w:val="0"/>
              <w:spacing w:line="400" w:lineRule="exact"/>
              <w:jc w:val="center"/>
              <w:rPr>
                <w:rFonts w:ascii="Times New Roman" w:hAnsi="Times New Roman" w:cs="Times New Roman"/>
              </w:rPr>
            </w:pPr>
            <w:r>
              <w:rPr>
                <w:rFonts w:ascii="Times New Roman" w:hAnsi="Times New Roman" w:cs="Times New Roman"/>
              </w:rPr>
              <w:t>二</w:t>
            </w:r>
          </w:p>
        </w:tc>
        <w:tc>
          <w:tcPr>
            <w:tcW w:w="1202" w:type="dxa"/>
            <w:vMerge w:val="restart"/>
            <w:vAlign w:val="center"/>
          </w:tcPr>
          <w:p>
            <w:pPr>
              <w:pStyle w:val="24"/>
              <w:adjustRightInd w:val="0"/>
              <w:snapToGrid w:val="0"/>
              <w:spacing w:line="400" w:lineRule="exact"/>
              <w:jc w:val="center"/>
              <w:rPr>
                <w:rFonts w:ascii="Times New Roman" w:hAnsi="Times New Roman" w:cs="Times New Roman"/>
              </w:rPr>
            </w:pPr>
            <w:r>
              <w:rPr>
                <w:rFonts w:ascii="Times New Roman" w:hAnsi="Times New Roman" w:cs="Times New Roman"/>
              </w:rPr>
              <w:t>技术评分规则</w:t>
            </w:r>
          </w:p>
        </w:tc>
        <w:tc>
          <w:tcPr>
            <w:tcW w:w="6211" w:type="dxa"/>
            <w:vAlign w:val="center"/>
          </w:tcPr>
          <w:p>
            <w:pPr>
              <w:adjustRightInd w:val="0"/>
              <w:snapToGrid w:val="0"/>
              <w:spacing w:line="400" w:lineRule="exact"/>
              <w:ind w:firstLine="404"/>
              <w:rPr>
                <w:rFonts w:ascii="Times New Roman" w:hAnsi="Times New Roman" w:cs="Times New Roman"/>
              </w:rPr>
            </w:pPr>
            <w:r>
              <w:rPr>
                <w:rFonts w:ascii="Times New Roman" w:hAnsi="Times New Roman" w:cs="Times New Roman"/>
              </w:rPr>
              <w:t>1.区分技术指标的重要程度：“★”号指标的标准分值应当高于“▲”号指标，“▲”号指标的标准分值应当高于一般指标；同一性质的指标，标准分值应当相同</w:t>
            </w:r>
          </w:p>
        </w:tc>
        <w:tc>
          <w:tcPr>
            <w:tcW w:w="1176" w:type="dxa"/>
            <w:noWrap/>
            <w:vAlign w:val="center"/>
          </w:tcPr>
          <w:p>
            <w:pPr>
              <w:pStyle w:val="24"/>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ascii="Times New Roman" w:hAnsi="Times New Roman" w:cs="Times New Roman"/>
              </w:rPr>
              <w:t>2.可以量化排名的“★”号、“▲”号和一般指标的正偏离评分规则：按偏离程度由高到低排名，排名第一得标准分值，排名第二按标准分值的25%递减得分</w:t>
            </w:r>
            <w:r>
              <w:rPr>
                <w:rFonts w:hint="eastAsia" w:ascii="Times New Roman" w:hAnsi="Times New Roman" w:cs="Times New Roman"/>
              </w:rPr>
              <w:t>；</w:t>
            </w:r>
            <w:r>
              <w:rPr>
                <w:rFonts w:ascii="Times New Roman" w:hAnsi="Times New Roman" w:cs="Times New Roman"/>
              </w:rPr>
              <w:t>排名</w:t>
            </w:r>
            <w:r>
              <w:rPr>
                <w:rFonts w:hint="eastAsia" w:ascii="Times New Roman" w:hAnsi="Times New Roman" w:cs="Times New Roman"/>
              </w:rPr>
              <w:t>相同</w:t>
            </w:r>
            <w:r>
              <w:rPr>
                <w:rFonts w:ascii="Times New Roman" w:hAnsi="Times New Roman" w:cs="Times New Roman"/>
              </w:rPr>
              <w:t>，得分一致</w:t>
            </w:r>
          </w:p>
        </w:tc>
        <w:tc>
          <w:tcPr>
            <w:tcW w:w="1176" w:type="dxa"/>
            <w:noWrap/>
            <w:vAlign w:val="center"/>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ascii="Times New Roman" w:hAnsi="Times New Roman" w:cs="Times New Roman"/>
              </w:rPr>
              <w:t>3.可以量化排名的“▲”号指标和一般指标负偏离评分规则：按偏离程度由低到高排名</w:t>
            </w:r>
            <w:r>
              <w:rPr>
                <w:rFonts w:hint="eastAsia" w:ascii="Times New Roman" w:hAnsi="Times New Roman" w:cs="Times New Roman"/>
              </w:rPr>
              <w:t>，偏离低的排名在前，偏离高的排名在后</w:t>
            </w:r>
            <w:r>
              <w:rPr>
                <w:rFonts w:ascii="Times New Roman" w:hAnsi="Times New Roman" w:cs="Times New Roman"/>
              </w:rPr>
              <w:t>。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1176" w:type="dxa"/>
            <w:noWrap/>
            <w:vAlign w:val="center"/>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ascii="Times New Roman" w:hAnsi="Times New Roman" w:cs="Times New Roman"/>
              </w:rPr>
              <w:t>4.是否判断评分规则：适用于“▲”号和一般指标中不便量化排名的，满足要求的得标准分值，不满足的得0分</w:t>
            </w:r>
          </w:p>
        </w:tc>
        <w:tc>
          <w:tcPr>
            <w:tcW w:w="1176" w:type="dxa"/>
            <w:noWrap/>
            <w:vAlign w:val="center"/>
          </w:tcPr>
          <w:p>
            <w:pPr>
              <w:adjustRightInd w:val="0"/>
              <w:snapToGrid w:val="0"/>
              <w:spacing w:line="400" w:lineRule="exact"/>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restart"/>
            <w:vAlign w:val="center"/>
          </w:tcPr>
          <w:p>
            <w:pPr>
              <w:pStyle w:val="24"/>
              <w:adjustRightInd w:val="0"/>
              <w:snapToGrid w:val="0"/>
              <w:spacing w:line="400" w:lineRule="exact"/>
              <w:jc w:val="center"/>
              <w:rPr>
                <w:rFonts w:ascii="Times New Roman" w:hAnsi="Times New Roman" w:cs="Times New Roman"/>
              </w:rPr>
            </w:pPr>
            <w:r>
              <w:rPr>
                <w:rFonts w:ascii="Times New Roman" w:hAnsi="Times New Roman" w:cs="Times New Roman"/>
              </w:rPr>
              <w:t>技术性能指标参数满足偏离情况</w:t>
            </w:r>
          </w:p>
        </w:tc>
        <w:tc>
          <w:tcPr>
            <w:tcW w:w="6211" w:type="dxa"/>
            <w:vAlign w:val="center"/>
          </w:tcPr>
          <w:p>
            <w:pPr>
              <w:adjustRightInd w:val="0"/>
              <w:snapToGrid w:val="0"/>
              <w:spacing w:line="400" w:lineRule="exact"/>
              <w:ind w:firstLine="402"/>
              <w:rPr>
                <w:rFonts w:ascii="Times New Roman" w:hAnsi="Times New Roman" w:cs="Times New Roman"/>
                <w:kern w:val="2"/>
              </w:rPr>
            </w:pPr>
            <w:r>
              <w:rPr>
                <w:rFonts w:ascii="Times New Roman" w:hAnsi="Times New Roman" w:cs="Times New Roman"/>
              </w:rPr>
              <w:t>★1.最高转速≥13000 rpm；最大相对离心力≥20000×g</w:t>
            </w:r>
          </w:p>
        </w:tc>
        <w:tc>
          <w:tcPr>
            <w:tcW w:w="1176" w:type="dxa"/>
            <w:noWrap/>
            <w:vAlign w:val="center"/>
          </w:tcPr>
          <w:p>
            <w:pPr>
              <w:adjustRightInd w:val="0"/>
              <w:snapToGrid w:val="0"/>
              <w:spacing w:line="400" w:lineRule="exact"/>
              <w:jc w:val="center"/>
              <w:rPr>
                <w:rFonts w:ascii="Times New Roman" w:hAnsi="Times New Roman" w:cs="Times New Roman"/>
                <w:kern w:val="2"/>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kern w:val="2"/>
              </w:rPr>
            </w:pPr>
            <w:r>
              <w:rPr>
                <w:rFonts w:ascii="Times New Roman" w:hAnsi="Times New Roman" w:cs="Times New Roman"/>
              </w:rPr>
              <w:t>★2.水平转子最大容量3000mL，最高转速≥4700 rpm，最大离心力≥4600×g；微量滴定板最高转速≥5700rpm，最大离心力≥5400×g；定角转子最大容量1500 mL，后期可选配升级100×2mL定角转子；</w:t>
            </w:r>
          </w:p>
        </w:tc>
        <w:tc>
          <w:tcPr>
            <w:tcW w:w="1176" w:type="dxa"/>
            <w:noWrap/>
            <w:vAlign w:val="center"/>
          </w:tcPr>
          <w:p>
            <w:pPr>
              <w:adjustRightInd w:val="0"/>
              <w:snapToGrid w:val="0"/>
              <w:spacing w:line="400" w:lineRule="exact"/>
              <w:jc w:val="center"/>
              <w:rPr>
                <w:rFonts w:ascii="Times New Roman" w:hAnsi="Times New Roman" w:cs="Times New Roman"/>
                <w:kern w:val="2"/>
              </w:rPr>
            </w:pPr>
            <w:r>
              <w:rPr>
                <w:rFonts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kern w:val="2"/>
              </w:rPr>
            </w:pPr>
            <w:r>
              <w:rPr>
                <w:rFonts w:ascii="Times New Roman" w:hAnsi="Times New Roman" w:cs="Times New Roman"/>
              </w:rPr>
              <w:t>▲3.可选配经第三方认证的生物安全转头，能有效的避免气溶胶的外溢</w:t>
            </w:r>
          </w:p>
        </w:tc>
        <w:tc>
          <w:tcPr>
            <w:tcW w:w="1176" w:type="dxa"/>
            <w:noWrap/>
            <w:vAlign w:val="center"/>
          </w:tcPr>
          <w:p>
            <w:pPr>
              <w:adjustRightInd w:val="0"/>
              <w:snapToGrid w:val="0"/>
              <w:spacing w:line="400" w:lineRule="exact"/>
              <w:jc w:val="center"/>
              <w:rPr>
                <w:rFonts w:ascii="Times New Roman" w:hAnsi="Times New Roman" w:cs="Times New Roman"/>
                <w:kern w:val="2"/>
              </w:rPr>
            </w:pPr>
            <w:r>
              <w:rPr>
                <w:rFonts w:ascii="Times New Roman" w:hAnsi="Times New Roman" w:cs="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kern w:val="2"/>
              </w:rPr>
            </w:pPr>
            <w:r>
              <w:rPr>
                <w:rFonts w:ascii="Times New Roman" w:hAnsi="Times New Roman" w:cs="Times New Roman"/>
              </w:rPr>
              <w:t>▲4.能重现运行条件程序储存：≥50</w:t>
            </w:r>
          </w:p>
        </w:tc>
        <w:tc>
          <w:tcPr>
            <w:tcW w:w="1176" w:type="dxa"/>
            <w:noWrap/>
            <w:vAlign w:val="center"/>
          </w:tcPr>
          <w:p>
            <w:pPr>
              <w:adjustRightInd w:val="0"/>
              <w:snapToGrid w:val="0"/>
              <w:spacing w:line="400" w:lineRule="exact"/>
              <w:jc w:val="center"/>
              <w:rPr>
                <w:rFonts w:ascii="Times New Roman" w:hAnsi="Times New Roman" w:cs="Times New Roman"/>
                <w:kern w:val="2"/>
              </w:rPr>
            </w:pPr>
            <w:r>
              <w:rPr>
                <w:rFonts w:ascii="Times New Roman" w:hAnsi="Times New Roman" w:cs="Times New Roma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tabs>
                <w:tab w:val="left" w:pos="308"/>
              </w:tabs>
              <w:adjustRightInd w:val="0"/>
              <w:snapToGrid w:val="0"/>
              <w:spacing w:line="400" w:lineRule="exact"/>
              <w:ind w:firstLine="402"/>
              <w:rPr>
                <w:rFonts w:ascii="Times New Roman" w:hAnsi="Times New Roman" w:cs="Times New Roman"/>
                <w:kern w:val="2"/>
              </w:rPr>
            </w:pPr>
            <w:r>
              <w:rPr>
                <w:rFonts w:ascii="Times New Roman" w:hAnsi="Times New Roman" w:cs="Times New Roman"/>
              </w:rPr>
              <w:tab/>
            </w:r>
            <w:r>
              <w:rPr>
                <w:rFonts w:ascii="Times New Roman" w:hAnsi="Times New Roman" w:cs="Times New Roman"/>
              </w:rPr>
              <w:t>▲5.温度设置范围为-10</w:t>
            </w:r>
            <w:r>
              <w:rPr>
                <w:rFonts w:ascii="Times New Roman" w:hAnsi="Times New Roman" w:cs="Times New Roman"/>
              </w:rPr>
              <w:sym w:font="Symbol" w:char="F0B0"/>
            </w:r>
            <w:r>
              <w:rPr>
                <w:rFonts w:ascii="Times New Roman" w:hAnsi="Times New Roman" w:cs="Times New Roman"/>
              </w:rPr>
              <w:t>C至40</w:t>
            </w:r>
            <w:r>
              <w:rPr>
                <w:rFonts w:ascii="Times New Roman" w:hAnsi="Times New Roman" w:cs="Times New Roman"/>
              </w:rPr>
              <w:sym w:font="Symbol" w:char="F0B0"/>
            </w:r>
            <w:r>
              <w:rPr>
                <w:rFonts w:ascii="Times New Roman" w:hAnsi="Times New Roman" w:cs="Times New Roman"/>
              </w:rPr>
              <w:t>C，采用非CFC冷冻剂</w:t>
            </w:r>
          </w:p>
        </w:tc>
        <w:tc>
          <w:tcPr>
            <w:tcW w:w="1176" w:type="dxa"/>
            <w:noWrap/>
            <w:vAlign w:val="center"/>
          </w:tcPr>
          <w:p>
            <w:pPr>
              <w:adjustRightInd w:val="0"/>
              <w:snapToGrid w:val="0"/>
              <w:spacing w:line="400" w:lineRule="exact"/>
              <w:jc w:val="center"/>
              <w:rPr>
                <w:rFonts w:ascii="Times New Roman" w:hAnsi="Times New Roman" w:cs="Times New Roman"/>
                <w:kern w:val="2"/>
              </w:rPr>
            </w:pPr>
            <w:r>
              <w:rPr>
                <w:rFonts w:ascii="Times New Roman" w:hAnsi="Times New Roman" w:cs="Times New Roman"/>
                <w:kern w:val="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kern w:val="2"/>
              </w:rPr>
            </w:pPr>
            <w:r>
              <w:rPr>
                <w:rFonts w:ascii="Times New Roman" w:hAnsi="Times New Roman" w:cs="Times New Roman"/>
              </w:rPr>
              <w:t>6.最高转速时转子温度可保持4°C</w:t>
            </w:r>
          </w:p>
        </w:tc>
        <w:tc>
          <w:tcPr>
            <w:tcW w:w="1176" w:type="dxa"/>
            <w:noWrap/>
            <w:vAlign w:val="center"/>
          </w:tcPr>
          <w:p>
            <w:pPr>
              <w:adjustRightInd w:val="0"/>
              <w:snapToGrid w:val="0"/>
              <w:spacing w:line="400" w:lineRule="exact"/>
              <w:jc w:val="center"/>
              <w:rPr>
                <w:rFonts w:ascii="Times New Roman" w:hAnsi="Times New Roman" w:cs="Times New Roman"/>
                <w:kern w:val="2"/>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kern w:val="2"/>
              </w:rPr>
            </w:pPr>
            <w:r>
              <w:rPr>
                <w:rFonts w:ascii="Times New Roman" w:hAnsi="Times New Roman" w:cs="Times New Roman"/>
              </w:rPr>
              <w:t>7.升/降速率选择：10个/ 10个</w:t>
            </w:r>
          </w:p>
        </w:tc>
        <w:tc>
          <w:tcPr>
            <w:tcW w:w="1176" w:type="dxa"/>
            <w:noWrap/>
            <w:vAlign w:val="center"/>
          </w:tcPr>
          <w:p>
            <w:pPr>
              <w:adjustRightInd w:val="0"/>
              <w:snapToGrid w:val="0"/>
              <w:spacing w:line="400" w:lineRule="exact"/>
              <w:jc w:val="center"/>
              <w:rPr>
                <w:rFonts w:ascii="Times New Roman" w:hAnsi="Times New Roman" w:cs="Times New Roman"/>
                <w:kern w:val="2"/>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kern w:val="2"/>
              </w:rPr>
            </w:pPr>
            <w:r>
              <w:rPr>
                <w:rFonts w:ascii="Times New Roman" w:hAnsi="Times New Roman" w:cs="Times New Roman"/>
              </w:rPr>
              <w:t>8.可设置锁定功能，能有效防止意外或在无意间更改离心机的设置</w:t>
            </w:r>
          </w:p>
        </w:tc>
        <w:tc>
          <w:tcPr>
            <w:tcW w:w="1176" w:type="dxa"/>
            <w:noWrap/>
            <w:vAlign w:val="center"/>
          </w:tcPr>
          <w:p>
            <w:pPr>
              <w:adjustRightInd w:val="0"/>
              <w:snapToGrid w:val="0"/>
              <w:spacing w:line="400" w:lineRule="exact"/>
              <w:jc w:val="center"/>
              <w:rPr>
                <w:rFonts w:ascii="Times New Roman" w:hAnsi="Times New Roman" w:cs="Times New Roman"/>
                <w:kern w:val="2"/>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restart"/>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ascii="Times New Roman" w:hAnsi="Times New Roman" w:cs="Times New Roman"/>
              </w:rPr>
              <w:t>9.在离心过程中可更改运行参数</w:t>
            </w:r>
          </w:p>
        </w:tc>
        <w:tc>
          <w:tcPr>
            <w:tcW w:w="1176" w:type="dxa"/>
            <w:noWrap/>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ascii="Times New Roman" w:hAnsi="Times New Roman" w:cs="Times New Roman"/>
              </w:rPr>
              <w:t>10.具备智能化控制系统，电源中断可自动启动转子驱动装置进行减速</w:t>
            </w:r>
          </w:p>
        </w:tc>
        <w:tc>
          <w:tcPr>
            <w:tcW w:w="1176" w:type="dxa"/>
            <w:noWrap/>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ascii="Times New Roman" w:hAnsi="Times New Roman" w:cs="Times New Roman"/>
              </w:rPr>
              <w:t>11.数字显示；实时RPM/RCF互换读数显示</w:t>
            </w:r>
          </w:p>
        </w:tc>
        <w:tc>
          <w:tcPr>
            <w:tcW w:w="1176" w:type="dxa"/>
            <w:noWrap/>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ascii="Times New Roman" w:hAnsi="Times New Roman" w:cs="Times New Roman"/>
              </w:rPr>
              <w:t>12.时间设定范围：10 秒至 99 小时 59 分钟 59 秒或持续</w:t>
            </w:r>
          </w:p>
        </w:tc>
        <w:tc>
          <w:tcPr>
            <w:tcW w:w="1176" w:type="dxa"/>
            <w:noWrap/>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ascii="Times New Roman" w:hAnsi="Times New Roman" w:cs="Times New Roman"/>
              </w:rPr>
              <w:t>13.具备转头不平衡检测、超速、超温保护功能</w:t>
            </w:r>
          </w:p>
        </w:tc>
        <w:tc>
          <w:tcPr>
            <w:tcW w:w="1176" w:type="dxa"/>
            <w:noWrap/>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ascii="Times New Roman" w:hAnsi="Times New Roman" w:cs="Times New Roman"/>
              </w:rPr>
              <w:t>14.噪音＜55dBA</w:t>
            </w:r>
          </w:p>
        </w:tc>
        <w:tc>
          <w:tcPr>
            <w:tcW w:w="1176" w:type="dxa"/>
            <w:noWrap/>
            <w:vAlign w:val="center"/>
          </w:tcPr>
          <w:p>
            <w:pPr>
              <w:adjustRightInd w:val="0"/>
              <w:snapToGrid w:val="0"/>
              <w:spacing w:line="400" w:lineRule="exact"/>
              <w:jc w:val="center"/>
              <w:rPr>
                <w:rFonts w:ascii="Times New Roman" w:hAnsi="Times New Roman" w:cs="Times New Roman"/>
              </w:rPr>
            </w:pPr>
            <w:r>
              <w:rPr>
                <w:rFonts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restart"/>
            <w:noWrap/>
            <w:vAlign w:val="center"/>
          </w:tcPr>
          <w:p>
            <w:pPr>
              <w:pStyle w:val="24"/>
              <w:adjustRightInd w:val="0"/>
              <w:snapToGrid w:val="0"/>
              <w:spacing w:line="400" w:lineRule="exact"/>
              <w:jc w:val="center"/>
              <w:rPr>
                <w:rFonts w:ascii="Times New Roman" w:hAnsi="Times New Roman" w:cs="Times New Roman"/>
              </w:rPr>
            </w:pPr>
            <w:r>
              <w:rPr>
                <w:rFonts w:ascii="Times New Roman" w:hAnsi="Times New Roman" w:cs="Times New Roman"/>
              </w:rPr>
              <w:t>三</w:t>
            </w:r>
          </w:p>
        </w:tc>
        <w:tc>
          <w:tcPr>
            <w:tcW w:w="1202" w:type="dxa"/>
            <w:vMerge w:val="restart"/>
            <w:vAlign w:val="center"/>
          </w:tcPr>
          <w:p>
            <w:pPr>
              <w:pStyle w:val="24"/>
              <w:adjustRightInd w:val="0"/>
              <w:snapToGrid w:val="0"/>
              <w:spacing w:line="400" w:lineRule="exact"/>
              <w:jc w:val="center"/>
              <w:rPr>
                <w:rFonts w:ascii="Times New Roman" w:hAnsi="Times New Roman" w:cs="Times New Roman"/>
              </w:rPr>
            </w:pPr>
            <w:r>
              <w:rPr>
                <w:rFonts w:ascii="Times New Roman" w:hAnsi="Times New Roman" w:cs="Times New Roman"/>
              </w:rPr>
              <w:t>售后服务</w:t>
            </w:r>
          </w:p>
        </w:tc>
        <w:tc>
          <w:tcPr>
            <w:tcW w:w="6211" w:type="dxa"/>
            <w:vAlign w:val="center"/>
          </w:tcPr>
          <w:p>
            <w:pPr>
              <w:adjustRightInd w:val="0"/>
              <w:snapToGrid w:val="0"/>
              <w:spacing w:line="400" w:lineRule="exact"/>
              <w:ind w:firstLine="402"/>
              <w:jc w:val="both"/>
              <w:rPr>
                <w:rFonts w:ascii="Times New Roman" w:hAnsi="Times New Roman" w:cs="Times New Roman"/>
              </w:rPr>
            </w:pPr>
            <w:r>
              <w:rPr>
                <w:rFonts w:ascii="Times New Roman" w:hAnsi="Times New Roman" w:cs="Times New Roman"/>
              </w:rPr>
              <w:t>1.满足采购文件要求的</w:t>
            </w:r>
            <w:r>
              <w:rPr>
                <w:rFonts w:hint="eastAsia" w:ascii="Times New Roman" w:hAnsi="Times New Roman" w:cs="Times New Roman"/>
              </w:rPr>
              <w:t>得1分，在此</w:t>
            </w:r>
            <w:r>
              <w:rPr>
                <w:rFonts w:ascii="Times New Roman" w:hAnsi="Times New Roman" w:cs="Times New Roman"/>
              </w:rPr>
              <w:t>基础上，保修年限每增加1年得1分，最多得标准分</w:t>
            </w:r>
          </w:p>
        </w:tc>
        <w:tc>
          <w:tcPr>
            <w:tcW w:w="1176" w:type="dxa"/>
            <w:noWrap/>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.保修期外维修费用：保修期外的年保修费用（整机保修）按厂家报价排名，报价最低的得标准分，其余依次按标准分的25%递减，最低得0分</w:t>
            </w:r>
          </w:p>
        </w:tc>
        <w:tc>
          <w:tcPr>
            <w:tcW w:w="1176" w:type="dxa"/>
            <w:noWrap/>
            <w:vAlign w:val="center"/>
          </w:tcPr>
          <w:p>
            <w:pPr>
              <w:adjustRightInd w:val="0"/>
              <w:snapToGrid w:val="0"/>
              <w:spacing w:line="400" w:lineRule="exact"/>
              <w:jc w:val="center"/>
              <w:rPr>
                <w:rFonts w:ascii="Times New Roman" w:hAnsi="Times New Roman" w:cs="Times New Roman"/>
              </w:rPr>
            </w:pPr>
            <w:r>
              <w:rPr>
                <w:rFonts w:hint="eastAsia"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vAlign w:val="center"/>
          </w:tcPr>
          <w:p>
            <w:pPr>
              <w:adjustRightInd w:val="0"/>
              <w:snapToGrid w:val="0"/>
              <w:spacing w:line="400" w:lineRule="exact"/>
              <w:ind w:firstLine="402"/>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.主要产品零配件维修支持：供应时间为</w:t>
            </w:r>
            <w:r>
              <w:rPr>
                <w:rFonts w:hint="eastAsia" w:ascii="Times New Roman" w:hAnsi="Times New Roman" w:cs="Times New Roman"/>
                <w:lang w:val="en-US" w:eastAsia="zh-CN"/>
              </w:rPr>
              <w:t>8</w:t>
            </w:r>
            <w:r>
              <w:rPr>
                <w:rFonts w:ascii="Times New Roman" w:hAnsi="Times New Roman" w:cs="Times New Roman"/>
              </w:rPr>
              <w:t>年及以上的</w:t>
            </w:r>
            <w:r>
              <w:rPr>
                <w:rFonts w:hint="eastAsia" w:ascii="Times New Roman" w:hAnsi="Times New Roman" w:cs="Times New Roman"/>
              </w:rPr>
              <w:t>参与</w:t>
            </w:r>
            <w:r>
              <w:rPr>
                <w:rFonts w:hint="eastAsia" w:ascii="Times New Roman" w:hAnsi="Times New Roman" w:cs="Times New Roman"/>
                <w:lang w:val="en-US" w:eastAsia="zh-CN"/>
              </w:rPr>
              <w:t>此项</w:t>
            </w:r>
            <w:r>
              <w:rPr>
                <w:rFonts w:hint="eastAsia" w:ascii="Times New Roman" w:hAnsi="Times New Roman" w:cs="Times New Roman"/>
              </w:rPr>
              <w:t>评分，不足</w:t>
            </w:r>
            <w:r>
              <w:rPr>
                <w:rFonts w:hint="eastAsia" w:ascii="Times New Roman" w:hAnsi="Times New Roman" w:cs="Times New Roman"/>
                <w:lang w:val="en-US" w:eastAsia="zh-CN"/>
              </w:rPr>
              <w:t>8</w:t>
            </w:r>
            <w:r>
              <w:rPr>
                <w:rFonts w:hint="eastAsia" w:ascii="Times New Roman" w:hAnsi="Times New Roman" w:cs="Times New Roman"/>
              </w:rPr>
              <w:t>年</w:t>
            </w:r>
            <w:r>
              <w:rPr>
                <w:rFonts w:hint="eastAsia" w:ascii="Times New Roman" w:hAnsi="Times New Roman" w:cs="Times New Roman"/>
                <w:lang w:val="en-US" w:eastAsia="zh-CN"/>
              </w:rPr>
              <w:t>的</w:t>
            </w:r>
            <w:r>
              <w:rPr>
                <w:rFonts w:hint="eastAsia" w:ascii="Times New Roman" w:hAnsi="Times New Roman" w:cs="Times New Roman"/>
              </w:rPr>
              <w:t>本项得0分。在此基础上，</w:t>
            </w:r>
            <w:r>
              <w:rPr>
                <w:rFonts w:ascii="Times New Roman" w:hAnsi="Times New Roman" w:cs="Times New Roman"/>
              </w:rPr>
              <w:t>提供过保质期后零配件维修报价，根据主要产品零配件维修价格排名，报价合计最低的得标准分值，其余排名依次按标准分值的25%递减，最低得0分。零配件报价不全、三分之二以上技术专家认为报价不合理的得0分</w:t>
            </w:r>
          </w:p>
        </w:tc>
        <w:tc>
          <w:tcPr>
            <w:tcW w:w="1176" w:type="dxa"/>
            <w:noWrap/>
            <w:vAlign w:val="center"/>
          </w:tcPr>
          <w:p>
            <w:pPr>
              <w:adjustRightInd w:val="0"/>
              <w:snapToGrid w:val="0"/>
              <w:spacing w:line="400" w:lineRule="exact"/>
              <w:jc w:val="center"/>
              <w:rPr>
                <w:rFonts w:hint="eastAsia" w:ascii="Times New Roman" w:hAnsi="Times New Roman" w:cs="Times New Roman"/>
              </w:rPr>
            </w:pPr>
            <w:r>
              <w:rPr>
                <w:rFonts w:hint="eastAsia" w:ascii="Times New Roman" w:hAnsi="Times New Roman" w:cs="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3" w:type="dxa"/>
            <w:vMerge w:val="continue"/>
            <w:noWrap/>
            <w:vAlign w:val="center"/>
          </w:tcPr>
          <w:p>
            <w:pPr>
              <w:pStyle w:val="24"/>
              <w:adjustRightInd w:val="0"/>
              <w:snapToGrid w:val="0"/>
              <w:spacing w:line="400" w:lineRule="exact"/>
              <w:jc w:val="center"/>
              <w:rPr>
                <w:rFonts w:ascii="Times New Roman" w:hAnsi="Times New Roman" w:cs="Times New Roman"/>
              </w:rPr>
            </w:pPr>
          </w:p>
        </w:tc>
        <w:tc>
          <w:tcPr>
            <w:tcW w:w="1202" w:type="dxa"/>
            <w:vMerge w:val="continue"/>
            <w:vAlign w:val="center"/>
          </w:tcPr>
          <w:p>
            <w:pPr>
              <w:pStyle w:val="24"/>
              <w:adjustRightInd w:val="0"/>
              <w:snapToGrid w:val="0"/>
              <w:spacing w:line="400" w:lineRule="exact"/>
              <w:jc w:val="center"/>
              <w:rPr>
                <w:rFonts w:ascii="Times New Roman" w:hAnsi="Times New Roman" w:cs="Times New Roman"/>
              </w:rPr>
            </w:pPr>
          </w:p>
        </w:tc>
        <w:tc>
          <w:tcPr>
            <w:tcW w:w="6211" w:type="dxa"/>
            <w:noWrap/>
            <w:vAlign w:val="center"/>
          </w:tcPr>
          <w:p>
            <w:pPr>
              <w:adjustRightInd w:val="0"/>
              <w:snapToGrid w:val="0"/>
              <w:spacing w:line="400" w:lineRule="exact"/>
              <w:ind w:firstLine="402"/>
              <w:rPr>
                <w:rFonts w:hint="eastAsia" w:ascii="Times New Roman" w:hAnsi="Times New Roman" w:eastAsia="宋体" w:cs="Times New Roman"/>
                <w:lang w:val="en-US" w:eastAsia="zh-CN"/>
              </w:rPr>
            </w:pPr>
            <w:r>
              <w:rPr>
                <w:rFonts w:hint="eastAsia" w:ascii="Times New Roman" w:hAnsi="Times New Roman" w:cs="Times New Roman"/>
              </w:rPr>
              <w:t>4</w:t>
            </w:r>
            <w:r>
              <w:rPr>
                <w:rFonts w:ascii="Times New Roman" w:hAnsi="Times New Roman" w:cs="Times New Roman"/>
              </w:rPr>
              <w:t>.到位维修响应：</w:t>
            </w:r>
            <w:r>
              <w:rPr>
                <w:rFonts w:hint="eastAsia" w:ascii="Times New Roman" w:hAnsi="Times New Roman" w:cs="Times New Roman"/>
                <w:lang w:val="en-US" w:eastAsia="zh-CN"/>
              </w:rPr>
              <w:t>在</w:t>
            </w:r>
            <w:r>
              <w:rPr>
                <w:rFonts w:ascii="Times New Roman" w:hAnsi="Times New Roman" w:cs="Times New Roman"/>
              </w:rPr>
              <w:t>满足谈判文件要求的基础上，根据对所投产品的到位维修响应时间排名，</w:t>
            </w:r>
            <w:r>
              <w:rPr>
                <w:rFonts w:hint="eastAsia" w:ascii="Times New Roman" w:hAnsi="Times New Roman" w:cs="Times New Roman"/>
              </w:rPr>
              <w:t>响应时间</w:t>
            </w:r>
            <w:r>
              <w:rPr>
                <w:rFonts w:ascii="Times New Roman" w:hAnsi="Times New Roman" w:cs="Times New Roman"/>
              </w:rPr>
              <w:t>最快的得标准分值，</w:t>
            </w:r>
            <w:r>
              <w:rPr>
                <w:rFonts w:hint="eastAsia" w:ascii="Times New Roman" w:hAnsi="Times New Roman" w:cs="Times New Roman"/>
              </w:rPr>
              <w:t>其余得0分。如果响应时间一致，</w:t>
            </w:r>
            <w:r>
              <w:rPr>
                <w:rFonts w:hint="eastAsia" w:ascii="Times New Roman" w:hAnsi="Times New Roman" w:cs="Times New Roman"/>
                <w:lang w:val="en-US" w:eastAsia="zh-CN"/>
              </w:rPr>
              <w:t>得分相同</w:t>
            </w:r>
          </w:p>
        </w:tc>
        <w:tc>
          <w:tcPr>
            <w:tcW w:w="1176" w:type="dxa"/>
            <w:noWrap/>
            <w:vAlign w:val="center"/>
          </w:tcPr>
          <w:p>
            <w:pPr>
              <w:adjustRightInd w:val="0"/>
              <w:snapToGrid w:val="0"/>
              <w:spacing w:line="400" w:lineRule="exact"/>
              <w:jc w:val="center"/>
              <w:rPr>
                <w:rFonts w:hint="eastAsia" w:ascii="Times New Roman" w:hAnsi="Times New Roman" w:cs="Times New Roman"/>
              </w:rPr>
            </w:pPr>
            <w:r>
              <w:rPr>
                <w:rFonts w:hint="eastAsia" w:ascii="Times New Roman" w:hAnsi="Times New Roman" w:cs="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06" w:type="dxa"/>
            <w:gridSpan w:val="3"/>
            <w:noWrap/>
            <w:vAlign w:val="center"/>
          </w:tcPr>
          <w:p>
            <w:pPr>
              <w:pStyle w:val="24"/>
              <w:adjustRightInd w:val="0"/>
              <w:snapToGrid w:val="0"/>
              <w:spacing w:line="400" w:lineRule="exact"/>
              <w:jc w:val="center"/>
              <w:rPr>
                <w:rFonts w:ascii="Times New Roman" w:hAnsi="Times New Roman" w:cs="Times New Roman"/>
              </w:rPr>
            </w:pPr>
            <w:r>
              <w:rPr>
                <w:rFonts w:ascii="Times New Roman" w:hAnsi="Times New Roman" w:cs="Times New Roman"/>
                <w:b/>
                <w:bCs/>
              </w:rPr>
              <w:t>合    计</w:t>
            </w:r>
          </w:p>
        </w:tc>
        <w:tc>
          <w:tcPr>
            <w:tcW w:w="1176" w:type="dxa"/>
            <w:noWrap/>
            <w:vAlign w:val="center"/>
          </w:tcPr>
          <w:p>
            <w:pPr>
              <w:pStyle w:val="24"/>
              <w:adjustRightInd w:val="0"/>
              <w:snapToGrid w:val="0"/>
              <w:spacing w:line="400" w:lineRule="exact"/>
              <w:jc w:val="center"/>
              <w:rPr>
                <w:rFonts w:ascii="Times New Roman" w:hAnsi="Times New Roman" w:cs="Times New Roman"/>
              </w:rPr>
            </w:pPr>
            <w:r>
              <w:rPr>
                <w:rFonts w:ascii="Times New Roman" w:hAnsi="Times New Roman" w:cs="Times New Roman"/>
              </w:rPr>
              <w:t>60</w:t>
            </w:r>
          </w:p>
        </w:tc>
      </w:tr>
    </w:tbl>
    <w:p>
      <w:pPr>
        <w:rPr>
          <w:rFonts w:ascii="黑体" w:hAnsi="黑体" w:eastAsia="黑体"/>
          <w:bCs/>
          <w:sz w:val="28"/>
          <w:szCs w:val="28"/>
        </w:rPr>
      </w:pPr>
      <w:r>
        <w:rPr>
          <w:rFonts w:hint="eastAsia" w:ascii="黑体" w:hAnsi="黑体" w:eastAsia="黑体"/>
          <w:bCs/>
          <w:sz w:val="28"/>
          <w:szCs w:val="28"/>
        </w:rPr>
        <w:br w:type="page"/>
      </w:r>
    </w:p>
    <w:p>
      <w:pPr>
        <w:sectPr>
          <w:footerReference r:id="rId5" w:type="default"/>
          <w:pgSz w:w="11906" w:h="16838"/>
          <w:pgMar w:top="1418" w:right="1134" w:bottom="1418" w:left="1418" w:header="851" w:footer="851" w:gutter="0"/>
          <w:pgNumType w:start="1"/>
          <w:cols w:space="720" w:num="1"/>
          <w:docGrid w:linePitch="388" w:charSpace="-1260"/>
        </w:sectPr>
      </w:pPr>
    </w:p>
    <w:bookmarkEnd w:id="348"/>
    <w:bookmarkEnd w:id="349"/>
    <w:bookmarkEnd w:id="350"/>
    <w:bookmarkEnd w:id="351"/>
    <w:bookmarkEnd w:id="352"/>
    <w:bookmarkEnd w:id="353"/>
    <w:p>
      <w:pPr>
        <w:spacing w:before="120" w:beforeLines="50" w:after="120" w:afterLines="50" w:line="560" w:lineRule="exact"/>
        <w:jc w:val="left"/>
        <w:rPr>
          <w:rFonts w:ascii="黑体" w:hAnsi="黑体" w:eastAsia="黑体" w:cs="黑体"/>
          <w:bCs/>
          <w:sz w:val="28"/>
          <w:szCs w:val="28"/>
        </w:rPr>
      </w:pPr>
      <w:r>
        <w:rPr>
          <w:rFonts w:hint="eastAsia" w:ascii="黑体" w:hAnsi="黑体" w:eastAsia="黑体" w:cs="黑体"/>
          <w:bCs/>
          <w:sz w:val="28"/>
          <w:szCs w:val="28"/>
        </w:rPr>
        <w:t>附表5价格评审标准表（综合评分法）</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价格评审标准表（综合评分法）</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6432"/>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56" w:type="dxa"/>
            <w:noWrap/>
            <w:vAlign w:val="center"/>
          </w:tcPr>
          <w:p>
            <w:pPr>
              <w:pStyle w:val="24"/>
              <w:adjustRightInd w:val="0"/>
              <w:snapToGrid w:val="0"/>
              <w:spacing w:line="40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评审项目</w:t>
            </w:r>
          </w:p>
        </w:tc>
        <w:tc>
          <w:tcPr>
            <w:tcW w:w="6432" w:type="dxa"/>
            <w:noWrap/>
            <w:vAlign w:val="center"/>
          </w:tcPr>
          <w:p>
            <w:pPr>
              <w:pStyle w:val="24"/>
              <w:adjustRightInd w:val="0"/>
              <w:snapToGrid w:val="0"/>
              <w:spacing w:line="40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评审内容及规则</w:t>
            </w:r>
          </w:p>
        </w:tc>
        <w:tc>
          <w:tcPr>
            <w:tcW w:w="1077" w:type="dxa"/>
            <w:noWrap/>
            <w:vAlign w:val="center"/>
          </w:tcPr>
          <w:p>
            <w:pPr>
              <w:pStyle w:val="24"/>
              <w:adjustRightInd w:val="0"/>
              <w:snapToGrid w:val="0"/>
              <w:spacing w:line="400" w:lineRule="exact"/>
              <w:jc w:val="center"/>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标准分值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256" w:type="dxa"/>
            <w:vMerge w:val="restart"/>
            <w:noWrap/>
            <w:vAlign w:val="center"/>
          </w:tcPr>
          <w:p>
            <w:pPr>
              <w:pStyle w:val="24"/>
              <w:adjustRightInd w:val="0"/>
              <w:snapToGrid w:val="0"/>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价格</w:t>
            </w:r>
          </w:p>
        </w:tc>
        <w:tc>
          <w:tcPr>
            <w:tcW w:w="6432" w:type="dxa"/>
            <w:vAlign w:val="center"/>
          </w:tcPr>
          <w:p>
            <w:pPr>
              <w:adjustRightInd w:val="0"/>
              <w:snapToGrid w:val="0"/>
              <w:spacing w:line="400" w:lineRule="exact"/>
              <w:ind w:firstLine="420"/>
              <w:textAlignment w:val="baseline"/>
              <w:rPr>
                <w:rFonts w:ascii="Times New Roman" w:hAnsi="Times New Roman" w:cs="Times New Roman"/>
              </w:rPr>
            </w:pPr>
            <w:r>
              <w:rPr>
                <w:rFonts w:hint="eastAsia" w:ascii="Times New Roman" w:hAnsi="Times New Roman" w:cs="Times New Roman"/>
              </w:rPr>
              <w:t>本评审项根据“设备报价”和“易损易耗件报价”两部分内容进行评审，具体评审规则如下：</w:t>
            </w:r>
          </w:p>
          <w:p>
            <w:pPr>
              <w:adjustRightInd w:val="0"/>
              <w:snapToGrid w:val="0"/>
              <w:rPr>
                <w:rFonts w:ascii="宋体" w:cs="宋体"/>
                <w:color w:val="000000" w:themeColor="text1"/>
                <w:kern w:val="0"/>
                <w14:textFill>
                  <w14:solidFill>
                    <w14:schemeClr w14:val="tx1"/>
                  </w14:solidFill>
                </w14:textFill>
              </w:rPr>
            </w:pPr>
          </w:p>
        </w:tc>
        <w:tc>
          <w:tcPr>
            <w:tcW w:w="1077" w:type="dxa"/>
            <w:vAlign w:val="center"/>
          </w:tcPr>
          <w:p>
            <w:pPr>
              <w:pStyle w:val="24"/>
              <w:adjustRightInd w:val="0"/>
              <w:snapToGrid w:val="0"/>
              <w:spacing w:line="400" w:lineRule="exact"/>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256" w:type="dxa"/>
            <w:vMerge w:val="continue"/>
            <w:noWrap/>
            <w:vAlign w:val="center"/>
          </w:tcPr>
          <w:p>
            <w:pPr>
              <w:adjustRightInd w:val="0"/>
              <w:snapToGrid w:val="0"/>
            </w:pPr>
          </w:p>
        </w:tc>
        <w:tc>
          <w:tcPr>
            <w:tcW w:w="6432" w:type="dxa"/>
            <w:vAlign w:val="center"/>
          </w:tcPr>
          <w:p>
            <w:pPr>
              <w:adjustRightInd w:val="0"/>
              <w:snapToGrid w:val="0"/>
              <w:spacing w:line="400" w:lineRule="exact"/>
              <w:ind w:firstLine="420"/>
              <w:textAlignment w:val="baseline"/>
              <w:rPr>
                <w:rFonts w:ascii="Times New Roman" w:hAnsi="Times New Roman" w:cs="Times New Roman"/>
              </w:rPr>
            </w:pPr>
            <w:r>
              <w:rPr>
                <w:rFonts w:hint="eastAsia" w:ascii="Times New Roman" w:hAnsi="Times New Roman" w:cs="Times New Roman"/>
              </w:rPr>
              <w:t>（一）“设备报价”评审规则</w:t>
            </w:r>
          </w:p>
          <w:p>
            <w:pPr>
              <w:adjustRightInd w:val="0"/>
              <w:snapToGrid w:val="0"/>
              <w:spacing w:line="400" w:lineRule="exact"/>
              <w:ind w:firstLine="404"/>
              <w:rPr>
                <w:kern w:val="0"/>
              </w:rPr>
            </w:pPr>
            <w:r>
              <w:rPr>
                <w:rFonts w:hint="eastAsia"/>
              </w:rPr>
              <w:t>满足谈判文件要求且报价最低的为评审基准价，价格得分=（评审基准价/报价）×标准分值</w:t>
            </w:r>
          </w:p>
          <w:p>
            <w:pPr>
              <w:adjustRightInd w:val="0"/>
              <w:snapToGrid w:val="0"/>
              <w:rPr>
                <w:rFonts w:ascii="宋体" w:cs="宋体"/>
                <w:color w:val="000000" w:themeColor="text1"/>
                <w:kern w:val="0"/>
                <w14:textFill>
                  <w14:solidFill>
                    <w14:schemeClr w14:val="tx1"/>
                  </w14:solidFill>
                </w14:textFill>
              </w:rPr>
            </w:pPr>
          </w:p>
        </w:tc>
        <w:tc>
          <w:tcPr>
            <w:tcW w:w="1077" w:type="dxa"/>
            <w:vAlign w:val="center"/>
          </w:tcPr>
          <w:p>
            <w:pPr>
              <w:adjustRightInd w:val="0"/>
              <w:snapToGrid w:val="0"/>
              <w:jc w:val="center"/>
              <w:rPr>
                <w:rFonts w:ascii="宋体" w:cs="宋体"/>
                <w:color w:val="000000" w:themeColor="text1"/>
                <w:kern w:val="0"/>
                <w14:textFill>
                  <w14:solidFill>
                    <w14:schemeClr w14:val="tx1"/>
                  </w14:solidFill>
                </w14:textFill>
              </w:rPr>
            </w:pPr>
            <w:r>
              <w:rPr>
                <w:rFonts w:hint="eastAsia" w:ascii="宋体" w:cs="宋体"/>
                <w:color w:val="000000" w:themeColor="text1"/>
                <w:kern w:val="0"/>
                <w14:textFill>
                  <w14:solidFill>
                    <w14:schemeClr w14:val="tx1"/>
                  </w14:solidFill>
                </w14:textFill>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256" w:type="dxa"/>
            <w:vMerge w:val="continue"/>
            <w:noWrap/>
            <w:vAlign w:val="center"/>
          </w:tcPr>
          <w:p>
            <w:pPr>
              <w:pStyle w:val="24"/>
              <w:adjustRightInd w:val="0"/>
              <w:snapToGrid w:val="0"/>
              <w:spacing w:line="400" w:lineRule="exact"/>
              <w:jc w:val="center"/>
              <w:rPr>
                <w:rFonts w:ascii="宋体" w:hAnsi="宋体" w:cs="宋体"/>
                <w:color w:val="000000" w:themeColor="text1"/>
                <w14:textFill>
                  <w14:solidFill>
                    <w14:schemeClr w14:val="tx1"/>
                  </w14:solidFill>
                </w14:textFill>
              </w:rPr>
            </w:pPr>
          </w:p>
        </w:tc>
        <w:tc>
          <w:tcPr>
            <w:tcW w:w="6432" w:type="dxa"/>
            <w:vAlign w:val="center"/>
          </w:tcPr>
          <w:p>
            <w:pPr>
              <w:adjustRightInd w:val="0"/>
              <w:snapToGrid w:val="0"/>
              <w:spacing w:line="400" w:lineRule="exact"/>
              <w:ind w:firstLine="420"/>
              <w:textAlignment w:val="baseline"/>
              <w:rPr>
                <w:rFonts w:ascii="Times New Roman" w:hAnsi="Times New Roman" w:cs="Times New Roman"/>
              </w:rPr>
            </w:pPr>
            <w:r>
              <w:rPr>
                <w:rFonts w:hint="eastAsia" w:ascii="Times New Roman" w:hAnsi="Times New Roman" w:cs="Times New Roman"/>
              </w:rPr>
              <w:t>（二）“易损易耗件”评审规则</w:t>
            </w:r>
          </w:p>
          <w:p>
            <w:pPr>
              <w:adjustRightInd w:val="0"/>
              <w:snapToGrid w:val="0"/>
              <w:spacing w:line="400" w:lineRule="exact"/>
              <w:ind w:firstLine="420"/>
              <w:textAlignment w:val="baseline"/>
              <w:rPr>
                <w:rFonts w:ascii="Times New Roman" w:hAnsi="Times New Roman" w:cs="Times New Roman"/>
              </w:rPr>
            </w:pPr>
            <w:r>
              <w:rPr>
                <w:rFonts w:hint="eastAsia" w:ascii="Times New Roman" w:hAnsi="Times New Roman" w:cs="Times New Roman"/>
              </w:rPr>
              <w:t>易损易耗件总价</w:t>
            </w:r>
            <w:r>
              <w:rPr>
                <w:rFonts w:ascii="Times New Roman" w:hAnsi="Times New Roman" w:cs="Times New Roman"/>
              </w:rPr>
              <w:t>按厂家报价排名，报价最低的得标准分，其余依次按标准分的25%递减，最低得0分</w:t>
            </w:r>
            <w:r>
              <w:rPr>
                <w:rFonts w:hint="eastAsia" w:ascii="Times New Roman" w:hAnsi="Times New Roman" w:cs="Times New Roman"/>
              </w:rPr>
              <w:t>。如果没有提供易损易耗件报价，得0分。</w:t>
            </w:r>
          </w:p>
        </w:tc>
        <w:tc>
          <w:tcPr>
            <w:tcW w:w="1077" w:type="dxa"/>
            <w:vAlign w:val="center"/>
          </w:tcPr>
          <w:p>
            <w:pPr>
              <w:pStyle w:val="24"/>
              <w:adjustRightInd w:val="0"/>
              <w:snapToGrid w:val="0"/>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r>
    </w:tbl>
    <w:p>
      <w:pPr>
        <w:adjustRightInd w:val="0"/>
        <w:snapToGrid w:val="0"/>
        <w:spacing w:before="120" w:beforeLines="50" w:line="560" w:lineRule="exact"/>
        <w:ind w:firstLine="711"/>
        <w:jc w:val="center"/>
        <w:rPr>
          <w:sz w:val="36"/>
          <w:szCs w:val="36"/>
          <w:lang w:val="zh-CN"/>
        </w:rPr>
        <w:sectPr>
          <w:pgSz w:w="11906" w:h="16838"/>
          <w:pgMar w:top="1418" w:right="1134" w:bottom="1418" w:left="1418" w:header="851" w:footer="851" w:gutter="0"/>
          <w:cols w:space="720" w:num="1"/>
          <w:docGrid w:linePitch="388" w:charSpace="-1260"/>
        </w:sectPr>
      </w:pPr>
    </w:p>
    <w:p>
      <w:pPr>
        <w:pStyle w:val="7"/>
      </w:pPr>
    </w:p>
    <w:p>
      <w:pPr>
        <w:rPr>
          <w:rFonts w:ascii="宋体" w:hAnsi="宋体" w:cs="宋体"/>
          <w:b/>
          <w:bCs/>
          <w:sz w:val="28"/>
          <w:szCs w:val="28"/>
        </w:rPr>
      </w:pPr>
      <w:r>
        <w:rPr>
          <w:rFonts w:hint="eastAsia" w:ascii="宋体" w:hAnsi="宋体" w:cs="宋体"/>
          <w:b/>
          <w:bCs/>
          <w:sz w:val="28"/>
          <w:szCs w:val="28"/>
        </w:rPr>
        <w:t>附页1 谈判文件更正确认函</w:t>
      </w:r>
      <w:bookmarkEnd w:id="305"/>
      <w:bookmarkEnd w:id="306"/>
      <w:bookmarkEnd w:id="307"/>
      <w:bookmarkEnd w:id="308"/>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谈判文件更正确认函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60" w:firstLineChars="200"/>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）的谈判文件更正信息已收悉。</w:t>
      </w:r>
    </w:p>
    <w:p>
      <w:pPr>
        <w:spacing w:line="560" w:lineRule="exact"/>
        <w:ind w:left="680"/>
        <w:rPr>
          <w:rFonts w:ascii="宋体" w:hAnsi="宋体" w:cs="宋体"/>
          <w:bCs/>
          <w:sz w:val="28"/>
          <w:szCs w:val="28"/>
        </w:rPr>
      </w:pPr>
    </w:p>
    <w:p>
      <w:pPr>
        <w:spacing w:line="560" w:lineRule="exact"/>
        <w:ind w:left="680"/>
        <w:rPr>
          <w:rFonts w:ascii="宋体" w:hAnsi="宋体" w:cs="宋体"/>
          <w:bCs/>
          <w:sz w:val="28"/>
          <w:szCs w:val="28"/>
        </w:rPr>
      </w:pPr>
    </w:p>
    <w:p>
      <w:pPr>
        <w:spacing w:line="560" w:lineRule="exact"/>
        <w:ind w:left="680"/>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3360" w:firstLineChars="1200"/>
        <w:rPr>
          <w:rFonts w:ascii="宋体" w:hAnsi="宋体" w:cs="宋体"/>
          <w:bCs/>
          <w:sz w:val="28"/>
          <w:szCs w:val="28"/>
          <w:lang w:val="zh-CN"/>
        </w:rPr>
      </w:pPr>
      <w:r>
        <w:rPr>
          <w:rFonts w:hint="eastAsia" w:ascii="宋体" w:hAnsi="宋体" w:cs="宋体"/>
          <w:bCs/>
          <w:sz w:val="28"/>
          <w:szCs w:val="28"/>
          <w:lang w:val="zh-CN"/>
        </w:rPr>
        <w:t>法定代表人（或授权代表）：（签字）</w:t>
      </w:r>
    </w:p>
    <w:p>
      <w:pPr>
        <w:spacing w:line="560" w:lineRule="exact"/>
        <w:ind w:firstLine="5600" w:firstLineChars="200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5"/>
        <w:spacing w:before="120" w:beforeLines="50" w:after="120" w:afterLines="50" w:line="560" w:lineRule="exact"/>
        <w:rPr>
          <w:rFonts w:ascii="黑体" w:hAnsi="黑体" w:cs="黑体"/>
          <w:b w:val="0"/>
          <w:bCs w:val="0"/>
          <w:sz w:val="28"/>
          <w:szCs w:val="28"/>
        </w:rPr>
        <w:sectPr>
          <w:headerReference r:id="rId8" w:type="first"/>
          <w:headerReference r:id="rId6" w:type="default"/>
          <w:footerReference r:id="rId9" w:type="default"/>
          <w:headerReference r:id="rId7" w:type="even"/>
          <w:pgSz w:w="11906" w:h="16838"/>
          <w:pgMar w:top="1418" w:right="1134" w:bottom="1418" w:left="1418" w:header="851" w:footer="851" w:gutter="0"/>
          <w:cols w:space="720" w:num="1"/>
        </w:sectPr>
      </w:pPr>
      <w:bookmarkStart w:id="354" w:name="_Toc26729"/>
      <w:bookmarkStart w:id="355" w:name="_Toc15835"/>
      <w:bookmarkStart w:id="356" w:name="_Toc152058262"/>
      <w:bookmarkStart w:id="357" w:name="_Toc150421219"/>
      <w:bookmarkStart w:id="358" w:name="_Toc9618"/>
      <w:bookmarkStart w:id="359" w:name="_Toc23299"/>
      <w:bookmarkStart w:id="360" w:name="_Toc112768435"/>
      <w:bookmarkStart w:id="361" w:name="_Toc26693"/>
    </w:p>
    <w:bookmarkEnd w:id="354"/>
    <w:bookmarkEnd w:id="355"/>
    <w:bookmarkEnd w:id="356"/>
    <w:bookmarkEnd w:id="357"/>
    <w:p>
      <w:pPr>
        <w:spacing w:line="560" w:lineRule="exact"/>
        <w:jc w:val="left"/>
        <w:rPr>
          <w:rFonts w:ascii="黑体" w:hAnsi="黑体" w:eastAsia="黑体" w:cs="黑体"/>
          <w:sz w:val="28"/>
          <w:szCs w:val="28"/>
        </w:rPr>
      </w:pPr>
      <w:r>
        <w:rPr>
          <w:rFonts w:hint="eastAsia" w:ascii="黑体" w:hAnsi="黑体" w:eastAsia="黑体" w:cs="黑体"/>
          <w:sz w:val="28"/>
          <w:szCs w:val="28"/>
        </w:rPr>
        <w:t>附页2 质疑函（格式）</w:t>
      </w:r>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bookmarkEnd w:id="358"/>
    <w:bookmarkEnd w:id="359"/>
    <w:bookmarkEnd w:id="360"/>
    <w:bookmarkEnd w:id="361"/>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080" w:firstLineChars="110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kern w:val="0"/>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62" w:name="_Toc9085"/>
      <w:bookmarkStart w:id="363" w:name="_Toc19368"/>
      <w:bookmarkStart w:id="364" w:name="_Toc10021"/>
      <w:bookmarkStart w:id="365" w:name="_Toc112768436"/>
    </w:p>
    <w:p>
      <w:pPr>
        <w:rPr>
          <w:rFonts w:ascii="黑体" w:eastAsia="黑体" w:cs="宋体"/>
          <w:sz w:val="36"/>
          <w:szCs w:val="36"/>
        </w:rPr>
      </w:pPr>
      <w:r>
        <w:rPr>
          <w:rFonts w:hint="eastAsia" w:ascii="黑体" w:eastAsia="黑体" w:cs="宋体"/>
          <w:sz w:val="32"/>
          <w:szCs w:val="32"/>
        </w:rPr>
        <w:t>附页3 投诉书（格式）                                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bookmarkEnd w:id="362"/>
    <w:bookmarkEnd w:id="363"/>
    <w:bookmarkEnd w:id="364"/>
    <w:bookmarkEnd w:id="365"/>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right="1120" w:firstLine="4116" w:firstLineChars="1470"/>
        <w:rPr>
          <w:rFonts w:ascii="宋体" w:hAnsi="宋体"/>
          <w:kern w:val="0"/>
          <w:sz w:val="28"/>
          <w:szCs w:val="28"/>
        </w:rPr>
      </w:pP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1540" w:firstLineChars="550"/>
        <w:jc w:val="center"/>
        <w:rPr>
          <w:rFonts w:hAnsi="宋体"/>
          <w:bCs/>
          <w:sz w:val="32"/>
          <w:szCs w:val="32"/>
        </w:rPr>
        <w:sectPr>
          <w:footerReference r:id="rId10" w:type="default"/>
          <w:pgSz w:w="11906" w:h="16838"/>
          <w:pgMar w:top="1418" w:right="1134" w:bottom="1418" w:left="1418" w:header="851" w:footer="851" w:gutter="0"/>
          <w:cols w:space="720" w:num="1"/>
        </w:sectPr>
      </w:pP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p>
      <w:pPr>
        <w:pStyle w:val="4"/>
        <w:keepNext w:val="0"/>
        <w:keepLines w:val="0"/>
        <w:adjustRightInd w:val="0"/>
        <w:snapToGrid w:val="0"/>
        <w:jc w:val="center"/>
        <w:rPr>
          <w:rFonts w:cs="Times New Roman"/>
          <w:b w:val="0"/>
          <w:kern w:val="2"/>
          <w:szCs w:val="44"/>
        </w:rPr>
      </w:pPr>
      <w:r>
        <w:rPr>
          <w:rFonts w:hint="eastAsia" w:cs="Times New Roman"/>
          <w:b w:val="0"/>
          <w:kern w:val="2"/>
          <w:szCs w:val="44"/>
        </w:rPr>
        <w:t>第三部分 商务与技术需求</w:t>
      </w:r>
    </w:p>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z w:val="28"/>
          <w:szCs w:val="28"/>
          <w:shd w:val="clear" w:color="auto" w:fill="FFFFFF"/>
        </w:rPr>
        <w:t>一、采购需求一览表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2881"/>
        <w:gridCol w:w="1868"/>
        <w:gridCol w:w="1585"/>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3" w:type="pct"/>
            <w:vAlign w:val="center"/>
          </w:tcPr>
          <w:p>
            <w:pPr>
              <w:spacing w:line="360" w:lineRule="auto"/>
              <w:jc w:val="center"/>
              <w:outlineLvl w:val="0"/>
              <w:rPr>
                <w:rFonts w:ascii="Times New Roman" w:hAnsi="Times New Roman" w:eastAsia="黑体" w:cs="Times New Roman"/>
                <w:kern w:val="2"/>
              </w:rPr>
            </w:pPr>
            <w:r>
              <w:rPr>
                <w:rFonts w:ascii="Times New Roman" w:hAnsi="Times New Roman" w:eastAsia="黑体" w:cs="Times New Roman"/>
                <w:kern w:val="2"/>
              </w:rPr>
              <w:t>序号</w:t>
            </w:r>
          </w:p>
        </w:tc>
        <w:tc>
          <w:tcPr>
            <w:tcW w:w="1505" w:type="pct"/>
            <w:vAlign w:val="center"/>
          </w:tcPr>
          <w:p>
            <w:pPr>
              <w:spacing w:line="360" w:lineRule="auto"/>
              <w:jc w:val="center"/>
              <w:outlineLvl w:val="0"/>
              <w:rPr>
                <w:rFonts w:ascii="Times New Roman" w:hAnsi="Times New Roman" w:eastAsia="黑体" w:cs="Times New Roman"/>
                <w:kern w:val="2"/>
              </w:rPr>
            </w:pPr>
            <w:r>
              <w:rPr>
                <w:rFonts w:ascii="Times New Roman" w:hAnsi="Times New Roman" w:eastAsia="黑体" w:cs="Times New Roman"/>
                <w:kern w:val="2"/>
              </w:rPr>
              <w:t>名称</w:t>
            </w:r>
          </w:p>
        </w:tc>
        <w:tc>
          <w:tcPr>
            <w:tcW w:w="976" w:type="pct"/>
            <w:vAlign w:val="center"/>
          </w:tcPr>
          <w:p>
            <w:pPr>
              <w:spacing w:line="360" w:lineRule="auto"/>
              <w:jc w:val="center"/>
              <w:outlineLvl w:val="0"/>
              <w:rPr>
                <w:rFonts w:ascii="Times New Roman" w:hAnsi="Times New Roman" w:eastAsia="黑体" w:cs="Times New Roman"/>
                <w:kern w:val="2"/>
              </w:rPr>
            </w:pPr>
            <w:r>
              <w:rPr>
                <w:rFonts w:ascii="Times New Roman" w:hAnsi="Times New Roman" w:eastAsia="黑体" w:cs="Times New Roman"/>
                <w:kern w:val="2"/>
              </w:rPr>
              <w:t>计量单位</w:t>
            </w:r>
          </w:p>
        </w:tc>
        <w:tc>
          <w:tcPr>
            <w:tcW w:w="828" w:type="pct"/>
            <w:vAlign w:val="center"/>
          </w:tcPr>
          <w:p>
            <w:pPr>
              <w:spacing w:line="360" w:lineRule="auto"/>
              <w:jc w:val="center"/>
              <w:outlineLvl w:val="0"/>
              <w:rPr>
                <w:rFonts w:ascii="Times New Roman" w:hAnsi="Times New Roman" w:eastAsia="黑体" w:cs="Times New Roman"/>
                <w:kern w:val="2"/>
              </w:rPr>
            </w:pPr>
            <w:r>
              <w:rPr>
                <w:rFonts w:ascii="Times New Roman" w:hAnsi="Times New Roman" w:eastAsia="黑体" w:cs="Times New Roman"/>
                <w:kern w:val="2"/>
              </w:rPr>
              <w:t>数量</w:t>
            </w:r>
          </w:p>
        </w:tc>
        <w:tc>
          <w:tcPr>
            <w:tcW w:w="1125" w:type="pct"/>
            <w:vAlign w:val="center"/>
          </w:tcPr>
          <w:p>
            <w:pPr>
              <w:spacing w:line="360" w:lineRule="auto"/>
              <w:jc w:val="center"/>
              <w:outlineLvl w:val="0"/>
              <w:rPr>
                <w:rFonts w:ascii="Times New Roman" w:hAnsi="Times New Roman" w:eastAsia="黑体" w:cs="Times New Roman"/>
                <w:kern w:val="2"/>
              </w:rPr>
            </w:pPr>
            <w:r>
              <w:rPr>
                <w:rFonts w:ascii="Times New Roman" w:hAnsi="Times New Roman" w:eastAsia="黑体" w:cs="Times New Roman"/>
                <w:kern w:val="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3" w:type="pct"/>
            <w:vAlign w:val="center"/>
          </w:tcPr>
          <w:p>
            <w:pPr>
              <w:adjustRightInd w:val="0"/>
              <w:snapToGrid w:val="0"/>
              <w:spacing w:line="360" w:lineRule="auto"/>
              <w:jc w:val="center"/>
              <w:outlineLvl w:val="0"/>
              <w:rPr>
                <w:rFonts w:ascii="Times New Roman" w:hAnsi="Times New Roman" w:cs="Times New Roman"/>
                <w:kern w:val="2"/>
                <w:sz w:val="24"/>
                <w:szCs w:val="24"/>
              </w:rPr>
            </w:pPr>
            <w:r>
              <w:rPr>
                <w:rFonts w:ascii="Times New Roman" w:hAnsi="Times New Roman" w:cs="Times New Roman"/>
                <w:kern w:val="2"/>
                <w:sz w:val="24"/>
                <w:szCs w:val="24"/>
              </w:rPr>
              <w:t>1</w:t>
            </w:r>
          </w:p>
        </w:tc>
        <w:tc>
          <w:tcPr>
            <w:tcW w:w="1505" w:type="pct"/>
            <w:vAlign w:val="center"/>
          </w:tcPr>
          <w:p>
            <w:pPr>
              <w:spacing w:line="360" w:lineRule="auto"/>
              <w:jc w:val="center"/>
              <w:outlineLvl w:val="0"/>
              <w:rPr>
                <w:rFonts w:ascii="Times New Roman" w:hAnsi="Times New Roman" w:cs="Times New Roman"/>
                <w:kern w:val="2"/>
                <w:sz w:val="24"/>
                <w:szCs w:val="24"/>
              </w:rPr>
            </w:pPr>
            <w:r>
              <w:rPr>
                <w:rFonts w:ascii="Times New Roman" w:hAnsi="Times New Roman" w:cs="Times New Roman"/>
                <w:kern w:val="2"/>
                <w:sz w:val="24"/>
                <w:szCs w:val="24"/>
              </w:rPr>
              <w:t>台式大容量冷冻离心机</w:t>
            </w:r>
          </w:p>
        </w:tc>
        <w:tc>
          <w:tcPr>
            <w:tcW w:w="976" w:type="pct"/>
            <w:vAlign w:val="center"/>
          </w:tcPr>
          <w:p>
            <w:pPr>
              <w:adjustRightInd w:val="0"/>
              <w:snapToGrid w:val="0"/>
              <w:spacing w:line="360" w:lineRule="auto"/>
              <w:jc w:val="center"/>
              <w:outlineLvl w:val="0"/>
              <w:rPr>
                <w:rFonts w:ascii="Times New Roman" w:hAnsi="Times New Roman" w:cs="Times New Roman"/>
                <w:kern w:val="2"/>
                <w:sz w:val="24"/>
                <w:szCs w:val="24"/>
              </w:rPr>
            </w:pPr>
            <w:r>
              <w:rPr>
                <w:rFonts w:ascii="Times New Roman" w:hAnsi="Times New Roman" w:cs="Times New Roman"/>
                <w:kern w:val="2"/>
                <w:sz w:val="24"/>
                <w:szCs w:val="24"/>
              </w:rPr>
              <w:t>台</w:t>
            </w:r>
          </w:p>
        </w:tc>
        <w:tc>
          <w:tcPr>
            <w:tcW w:w="828" w:type="pct"/>
            <w:vAlign w:val="center"/>
          </w:tcPr>
          <w:p>
            <w:pPr>
              <w:adjustRightInd w:val="0"/>
              <w:snapToGrid w:val="0"/>
              <w:spacing w:line="360" w:lineRule="auto"/>
              <w:jc w:val="center"/>
              <w:outlineLvl w:val="0"/>
              <w:rPr>
                <w:rFonts w:ascii="Times New Roman" w:hAnsi="Times New Roman" w:cs="Times New Roman"/>
                <w:kern w:val="2"/>
                <w:sz w:val="24"/>
                <w:szCs w:val="24"/>
              </w:rPr>
            </w:pPr>
            <w:r>
              <w:rPr>
                <w:rFonts w:ascii="Times New Roman" w:hAnsi="Times New Roman" w:cs="Times New Roman"/>
                <w:kern w:val="2"/>
                <w:sz w:val="24"/>
                <w:szCs w:val="24"/>
              </w:rPr>
              <w:t>1</w:t>
            </w:r>
          </w:p>
        </w:tc>
        <w:tc>
          <w:tcPr>
            <w:tcW w:w="1125" w:type="pct"/>
            <w:vAlign w:val="center"/>
          </w:tcPr>
          <w:p>
            <w:pPr>
              <w:adjustRightInd w:val="0"/>
              <w:snapToGrid w:val="0"/>
              <w:spacing w:line="360" w:lineRule="auto"/>
              <w:jc w:val="center"/>
              <w:outlineLvl w:val="0"/>
              <w:rPr>
                <w:rFonts w:ascii="Times New Roman" w:hAnsi="Times New Roman" w:cs="Times New Roman"/>
                <w:kern w:val="2"/>
                <w:sz w:val="24"/>
                <w:szCs w:val="24"/>
              </w:rPr>
            </w:pPr>
          </w:p>
        </w:tc>
      </w:tr>
    </w:tbl>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shd w:val="clear" w:color="auto" w:fill="FFFFFF"/>
        </w:rPr>
      </w:pPr>
    </w:p>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z w:val="28"/>
          <w:szCs w:val="28"/>
          <w:shd w:val="clear" w:color="auto" w:fill="FFFFFF"/>
        </w:rPr>
        <w:t>二、技术需求</w:t>
      </w:r>
    </w:p>
    <w:p>
      <w:pPr>
        <w:spacing w:line="360" w:lineRule="auto"/>
        <w:jc w:val="center"/>
        <w:rPr>
          <w:rFonts w:ascii="Times New Roman" w:hAnsi="Times New Roman" w:eastAsia="黑体" w:cs="Times New Roman"/>
          <w:bCs/>
          <w:kern w:val="0"/>
          <w:sz w:val="32"/>
          <w:szCs w:val="44"/>
        </w:rPr>
      </w:pPr>
      <w:r>
        <w:rPr>
          <w:rFonts w:hint="eastAsia" w:ascii="Times New Roman" w:hAnsi="Times New Roman" w:eastAsia="黑体" w:cs="Times New Roman"/>
          <w:bCs/>
          <w:kern w:val="0"/>
          <w:sz w:val="32"/>
          <w:szCs w:val="44"/>
        </w:rPr>
        <w:t>台式大容量冷冻离心机</w:t>
      </w:r>
      <w:r>
        <w:rPr>
          <w:rFonts w:ascii="Times New Roman" w:hAnsi="Times New Roman" w:eastAsia="黑体" w:cs="Times New Roman"/>
          <w:bCs/>
          <w:kern w:val="0"/>
          <w:sz w:val="32"/>
          <w:szCs w:val="44"/>
        </w:rPr>
        <w:t>技术参数确认表</w:t>
      </w:r>
    </w:p>
    <w:p>
      <w:pPr>
        <w:spacing w:line="360" w:lineRule="auto"/>
        <w:jc w:val="center"/>
        <w:rPr>
          <w:rFonts w:ascii="Times New Roman" w:hAnsi="Times New Roman" w:cs="Times New Roman"/>
          <w:bCs/>
          <w:kern w:val="0"/>
          <w:sz w:val="32"/>
          <w:szCs w:val="32"/>
        </w:rPr>
      </w:pPr>
    </w:p>
    <w:tbl>
      <w:tblPr>
        <w:tblStyle w:val="13"/>
        <w:tblW w:w="9640" w:type="dxa"/>
        <w:jc w:val="center"/>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jc w:val="center"/>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幼圆" w:cs="Times New Roman"/>
                <w:b/>
                <w:bCs/>
                <w:kern w:val="0"/>
                <w:sz w:val="24"/>
                <w:szCs w:val="24"/>
              </w:rPr>
            </w:pPr>
            <w:r>
              <w:rPr>
                <w:rFonts w:ascii="Times New Roman" w:hAnsi="Times New Roman" w:cs="Times New Roman"/>
                <w:b/>
                <w:bCs/>
                <w:kern w:val="0"/>
                <w:sz w:val="24"/>
                <w:szCs w:val="24"/>
              </w:rPr>
              <w:t>备注</w:t>
            </w:r>
          </w:p>
        </w:tc>
      </w:tr>
      <w:tr>
        <w:tblPrEx>
          <w:tblCellMar>
            <w:top w:w="0" w:type="dxa"/>
            <w:left w:w="108" w:type="dxa"/>
            <w:bottom w:w="0" w:type="dxa"/>
            <w:right w:w="108" w:type="dxa"/>
          </w:tblCellMar>
        </w:tblPrEx>
        <w:trPr>
          <w:trHeight w:val="668"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b/>
                <w:bCs/>
                <w:kern w:val="0"/>
                <w:sz w:val="24"/>
                <w:szCs w:val="24"/>
              </w:rPr>
            </w:pPr>
          </w:p>
        </w:tc>
      </w:tr>
      <w:tr>
        <w:tblPrEx>
          <w:tblCellMar>
            <w:top w:w="0" w:type="dxa"/>
            <w:left w:w="108" w:type="dxa"/>
            <w:bottom w:w="0" w:type="dxa"/>
            <w:right w:w="108" w:type="dxa"/>
          </w:tblCellMar>
        </w:tblPrEx>
        <w:trPr>
          <w:trHeight w:val="692"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rPr>
                <w:rFonts w:ascii="Times New Roman" w:hAnsi="Times New Roman" w:cs="Times New Roman"/>
                <w:kern w:val="0"/>
                <w:sz w:val="24"/>
                <w:szCs w:val="24"/>
              </w:rPr>
            </w:pPr>
            <w:r>
              <w:rPr>
                <w:rFonts w:ascii="Times New Roman" w:hAnsi="Times New Roman" w:cs="Times New Roman"/>
                <w:kern w:val="0"/>
                <w:sz w:val="24"/>
                <w:szCs w:val="24"/>
              </w:rPr>
              <w:t>亚细胞组份分离，细胞膜分离，核酸沉淀，蛋白沉淀</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13" w:hRule="atLeast"/>
          <w:jc w:val="center"/>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细胞</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565"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Cs/>
                <w:kern w:val="0"/>
                <w:sz w:val="24"/>
                <w:szCs w:val="24"/>
              </w:rPr>
            </w:pPr>
            <w:r>
              <w:rPr>
                <w:rFonts w:ascii="Times New Roman" w:hAnsi="Times New Roman" w:cs="Times New Roman"/>
                <w:bCs/>
                <w:kern w:val="0"/>
                <w:sz w:val="24"/>
                <w:szCs w:val="24"/>
              </w:rPr>
              <w:t>无</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b/>
                <w:bCs/>
                <w:kern w:val="0"/>
                <w:sz w:val="24"/>
                <w:szCs w:val="24"/>
              </w:rPr>
            </w:pPr>
          </w:p>
        </w:tc>
      </w:tr>
      <w:tr>
        <w:tblPrEx>
          <w:tblCellMar>
            <w:top w:w="0" w:type="dxa"/>
            <w:left w:w="108" w:type="dxa"/>
            <w:bottom w:w="0" w:type="dxa"/>
            <w:right w:w="108" w:type="dxa"/>
          </w:tblCellMar>
        </w:tblPrEx>
        <w:trPr>
          <w:trHeight w:val="990"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b/>
                <w:kern w:val="0"/>
                <w:sz w:val="24"/>
                <w:szCs w:val="24"/>
              </w:rPr>
            </w:pPr>
            <w:r>
              <w:rPr>
                <w:rFonts w:ascii="Times New Roman" w:hAnsi="Times New Roman"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b/>
                <w:bCs/>
                <w:kern w:val="0"/>
                <w:sz w:val="24"/>
                <w:szCs w:val="24"/>
              </w:rPr>
            </w:pPr>
            <w:r>
              <w:rPr>
                <w:rFonts w:ascii="Times New Roman" w:hAnsi="Times New Roman"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105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2.1</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rPr>
                <w:rFonts w:ascii="Times New Roman" w:hAnsi="Times New Roman" w:cs="Times New Roman"/>
                <w:sz w:val="24"/>
                <w:szCs w:val="24"/>
              </w:rPr>
            </w:pPr>
            <w:r>
              <w:rPr>
                <w:rFonts w:ascii="Times New Roman" w:hAnsi="Times New Roman" w:cs="Times New Roman"/>
                <w:sz w:val="24"/>
                <w:szCs w:val="24"/>
              </w:rPr>
              <w:t>最高转速≥13000 rpm；最大相对离心力≥20000×g</w:t>
            </w:r>
          </w:p>
        </w:tc>
        <w:tc>
          <w:tcPr>
            <w:tcW w:w="1843" w:type="dxa"/>
            <w:tcBorders>
              <w:top w:val="nil"/>
              <w:left w:val="nil"/>
              <w:bottom w:val="single" w:color="auto" w:sz="4" w:space="0"/>
              <w:right w:val="single" w:color="auto" w:sz="8" w:space="0"/>
            </w:tcBorders>
            <w:vAlign w:val="center"/>
          </w:tcPr>
          <w:p>
            <w:pPr>
              <w:widowControl/>
              <w:rPr>
                <w:rFonts w:ascii="Times New Roman" w:hAnsi="Times New Roman" w:cs="Times New Roman"/>
                <w:kern w:val="0"/>
                <w:sz w:val="24"/>
                <w:szCs w:val="24"/>
                <w:lang w:bidi="zh-CN"/>
              </w:rPr>
            </w:pPr>
          </w:p>
        </w:tc>
      </w:tr>
      <w:tr>
        <w:tblPrEx>
          <w:tblCellMar>
            <w:top w:w="0" w:type="dxa"/>
            <w:left w:w="108" w:type="dxa"/>
            <w:bottom w:w="0" w:type="dxa"/>
            <w:right w:w="108" w:type="dxa"/>
          </w:tblCellMar>
        </w:tblPrEx>
        <w:trPr>
          <w:trHeight w:val="690"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2.2</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pStyle w:val="19"/>
              <w:ind w:firstLine="0" w:firstLineChars="0"/>
              <w:rPr>
                <w:rFonts w:ascii="Times New Roman" w:hAnsi="Times New Roman" w:cs="Times New Roman"/>
                <w:sz w:val="24"/>
                <w:szCs w:val="24"/>
              </w:rPr>
            </w:pPr>
            <w:r>
              <w:rPr>
                <w:rFonts w:ascii="Times New Roman" w:hAnsi="Times New Roman" w:cs="Times New Roman"/>
                <w:sz w:val="24"/>
                <w:szCs w:val="24"/>
              </w:rPr>
              <w:t>水平转子最大容量3000mL，最高转速≥4700 rpm，最大离心力≥4600×g；微量滴定板最高转速≥5700rpm，最大离心力≥5400×g；定角转子最大容量1500 mL，后期可选配升级100×2mL定角转子；</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90"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spacing w:line="276" w:lineRule="auto"/>
              <w:rPr>
                <w:rFonts w:ascii="Times New Roman" w:hAnsi="Times New Roman" w:cs="Times New Roman"/>
                <w:sz w:val="24"/>
                <w:szCs w:val="24"/>
              </w:rPr>
            </w:pPr>
            <w:r>
              <w:rPr>
                <w:rFonts w:ascii="Times New Roman" w:hAnsi="Times New Roman" w:cs="Times New Roman"/>
                <w:sz w:val="24"/>
                <w:szCs w:val="24"/>
              </w:rPr>
              <w:t>可选配经第三方认证的生物安全转头，能有效的避免气溶胶的外溢</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2.4</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s="Times New Roman"/>
                <w:kern w:val="0"/>
                <w:sz w:val="24"/>
                <w:szCs w:val="24"/>
              </w:rPr>
            </w:pPr>
            <w:r>
              <w:rPr>
                <w:rFonts w:ascii="Times New Roman" w:hAnsi="Times New Roman"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spacing w:line="276" w:lineRule="auto"/>
              <w:rPr>
                <w:rFonts w:ascii="Times New Roman" w:hAnsi="Times New Roman" w:cs="Times New Roman"/>
                <w:sz w:val="24"/>
                <w:szCs w:val="24"/>
                <w:lang w:bidi="ar"/>
              </w:rPr>
            </w:pPr>
            <w:r>
              <w:rPr>
                <w:rFonts w:ascii="Times New Roman" w:hAnsi="Times New Roman" w:cs="Times New Roman"/>
                <w:sz w:val="24"/>
                <w:szCs w:val="24"/>
              </w:rPr>
              <w:t>能重现运行条件程序储存：≥50</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2.5</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s="Times New Roman"/>
                <w:kern w:val="0"/>
                <w:sz w:val="24"/>
                <w:szCs w:val="24"/>
              </w:rPr>
            </w:pPr>
            <w:r>
              <w:rPr>
                <w:rFonts w:ascii="Times New Roman" w:hAnsi="Times New Roman"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spacing w:line="276" w:lineRule="auto"/>
              <w:rPr>
                <w:rFonts w:ascii="Times New Roman" w:hAnsi="Times New Roman" w:cs="Times New Roman"/>
                <w:sz w:val="24"/>
                <w:szCs w:val="24"/>
                <w:lang w:bidi="ar"/>
              </w:rPr>
            </w:pPr>
            <w:r>
              <w:rPr>
                <w:rFonts w:ascii="Times New Roman" w:hAnsi="Times New Roman" w:cs="Times New Roman"/>
                <w:sz w:val="24"/>
                <w:szCs w:val="24"/>
              </w:rPr>
              <w:t>温度设置范围为-10</w:t>
            </w:r>
            <w:r>
              <w:rPr>
                <w:rFonts w:ascii="Times New Roman" w:hAnsi="Times New Roman" w:cs="Times New Roman"/>
                <w:sz w:val="24"/>
                <w:szCs w:val="24"/>
              </w:rPr>
              <w:sym w:font="Symbol" w:char="F0B0"/>
            </w:r>
            <w:r>
              <w:rPr>
                <w:rFonts w:ascii="Times New Roman" w:hAnsi="Times New Roman" w:cs="Times New Roman"/>
                <w:sz w:val="24"/>
                <w:szCs w:val="24"/>
              </w:rPr>
              <w:t>C至40</w:t>
            </w:r>
            <w:r>
              <w:rPr>
                <w:rFonts w:ascii="Times New Roman" w:hAnsi="Times New Roman" w:cs="Times New Roman"/>
                <w:sz w:val="24"/>
                <w:szCs w:val="24"/>
              </w:rPr>
              <w:sym w:font="Symbol" w:char="F0B0"/>
            </w:r>
            <w:r>
              <w:rPr>
                <w:rFonts w:ascii="Times New Roman" w:hAnsi="Times New Roman" w:cs="Times New Roman"/>
                <w:sz w:val="24"/>
                <w:szCs w:val="24"/>
              </w:rPr>
              <w:t>C，采用非CFC冷冻剂</w:t>
            </w:r>
          </w:p>
        </w:tc>
        <w:tc>
          <w:tcPr>
            <w:tcW w:w="1843" w:type="dxa"/>
            <w:tcBorders>
              <w:top w:val="single" w:color="auto" w:sz="4" w:space="0"/>
              <w:left w:val="nil"/>
              <w:bottom w:val="single" w:color="auto" w:sz="4" w:space="0"/>
              <w:right w:val="single" w:color="auto" w:sz="8"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2.6</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s="Times New Roman"/>
                <w:kern w:val="0"/>
                <w:sz w:val="24"/>
                <w:szCs w:val="24"/>
              </w:rPr>
            </w:pPr>
            <w:r>
              <w:rPr>
                <w:rFonts w:ascii="Times New Roman" w:hAnsi="Times New Roman"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spacing w:line="276" w:lineRule="auto"/>
              <w:rPr>
                <w:rFonts w:ascii="Times New Roman" w:hAnsi="Times New Roman" w:cs="Times New Roman"/>
                <w:sz w:val="24"/>
                <w:szCs w:val="24"/>
                <w:lang w:bidi="ar"/>
              </w:rPr>
            </w:pPr>
            <w:r>
              <w:rPr>
                <w:rFonts w:ascii="Times New Roman" w:hAnsi="Times New Roman" w:cs="Times New Roman"/>
                <w:sz w:val="24"/>
                <w:szCs w:val="24"/>
              </w:rPr>
              <w:t>最高转速时转子温度可保持4°C</w:t>
            </w:r>
          </w:p>
        </w:tc>
        <w:tc>
          <w:tcPr>
            <w:tcW w:w="1843" w:type="dxa"/>
            <w:tcBorders>
              <w:top w:val="single" w:color="auto" w:sz="4" w:space="0"/>
              <w:left w:val="nil"/>
              <w:bottom w:val="single" w:color="auto" w:sz="4" w:space="0"/>
              <w:right w:val="single" w:color="auto" w:sz="8"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2.7</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s="Times New Roman"/>
                <w:kern w:val="0"/>
                <w:sz w:val="24"/>
                <w:szCs w:val="24"/>
              </w:rPr>
            </w:pPr>
            <w:r>
              <w:rPr>
                <w:rFonts w:ascii="Times New Roman" w:hAnsi="Times New Roman"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spacing w:line="276" w:lineRule="auto"/>
              <w:rPr>
                <w:rFonts w:ascii="Times New Roman" w:hAnsi="Times New Roman" w:cs="Times New Roman"/>
                <w:sz w:val="24"/>
                <w:szCs w:val="24"/>
                <w:lang w:bidi="ar"/>
              </w:rPr>
            </w:pPr>
            <w:r>
              <w:rPr>
                <w:rFonts w:ascii="Times New Roman" w:hAnsi="Times New Roman" w:cs="Times New Roman"/>
                <w:sz w:val="24"/>
                <w:szCs w:val="24"/>
              </w:rPr>
              <w:t>升/降速率选择：10个/ 10个</w:t>
            </w:r>
          </w:p>
        </w:tc>
        <w:tc>
          <w:tcPr>
            <w:tcW w:w="1843" w:type="dxa"/>
            <w:tcBorders>
              <w:top w:val="single" w:color="auto" w:sz="4" w:space="0"/>
              <w:left w:val="nil"/>
              <w:bottom w:val="single" w:color="auto" w:sz="4" w:space="0"/>
              <w:right w:val="single" w:color="auto" w:sz="8"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2.8</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s="Times New Roman"/>
                <w:kern w:val="0"/>
                <w:sz w:val="24"/>
                <w:szCs w:val="24"/>
              </w:rPr>
            </w:pPr>
            <w:r>
              <w:rPr>
                <w:rFonts w:ascii="Times New Roman" w:hAnsi="Times New Roman" w:cs="Times New Roman"/>
                <w:kern w:val="0"/>
                <w:sz w:val="24"/>
                <w:szCs w:val="24"/>
              </w:rPr>
              <w:t>参数8</w:t>
            </w:r>
          </w:p>
        </w:tc>
        <w:tc>
          <w:tcPr>
            <w:tcW w:w="4961" w:type="dxa"/>
            <w:tcBorders>
              <w:top w:val="nil"/>
              <w:left w:val="nil"/>
              <w:bottom w:val="single" w:color="auto" w:sz="4" w:space="0"/>
              <w:right w:val="single" w:color="auto" w:sz="4" w:space="0"/>
            </w:tcBorders>
            <w:vAlign w:val="center"/>
          </w:tcPr>
          <w:p>
            <w:pPr>
              <w:spacing w:line="276" w:lineRule="auto"/>
              <w:rPr>
                <w:rFonts w:ascii="Times New Roman" w:hAnsi="Times New Roman" w:cs="Times New Roman"/>
                <w:sz w:val="24"/>
                <w:szCs w:val="24"/>
                <w:lang w:bidi="ar"/>
              </w:rPr>
            </w:pPr>
            <w:r>
              <w:rPr>
                <w:rFonts w:ascii="Times New Roman" w:hAnsi="Times New Roman" w:cs="Times New Roman"/>
                <w:sz w:val="24"/>
                <w:szCs w:val="24"/>
              </w:rPr>
              <w:t>可设置锁定功能，能有效防止意外或在无意间更改离心机的设置</w:t>
            </w:r>
          </w:p>
        </w:tc>
        <w:tc>
          <w:tcPr>
            <w:tcW w:w="1843" w:type="dxa"/>
            <w:tcBorders>
              <w:top w:val="single" w:color="auto" w:sz="4" w:space="0"/>
              <w:left w:val="nil"/>
              <w:bottom w:val="single" w:color="auto" w:sz="4" w:space="0"/>
              <w:right w:val="single" w:color="auto" w:sz="8"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2.9</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s="Times New Roman"/>
                <w:kern w:val="0"/>
                <w:sz w:val="24"/>
                <w:szCs w:val="24"/>
              </w:rPr>
            </w:pPr>
            <w:r>
              <w:rPr>
                <w:rFonts w:ascii="Times New Roman" w:hAnsi="Times New Roman" w:cs="Times New Roman"/>
                <w:kern w:val="0"/>
                <w:sz w:val="24"/>
                <w:szCs w:val="24"/>
              </w:rPr>
              <w:t>参数9</w:t>
            </w:r>
          </w:p>
        </w:tc>
        <w:tc>
          <w:tcPr>
            <w:tcW w:w="4961" w:type="dxa"/>
            <w:tcBorders>
              <w:top w:val="nil"/>
              <w:left w:val="nil"/>
              <w:bottom w:val="single" w:color="auto" w:sz="4" w:space="0"/>
              <w:right w:val="single" w:color="auto" w:sz="4" w:space="0"/>
            </w:tcBorders>
            <w:vAlign w:val="center"/>
          </w:tcPr>
          <w:p>
            <w:pPr>
              <w:spacing w:line="276" w:lineRule="auto"/>
              <w:rPr>
                <w:rFonts w:ascii="Times New Roman" w:hAnsi="Times New Roman" w:cs="Times New Roman"/>
                <w:sz w:val="24"/>
                <w:szCs w:val="24"/>
              </w:rPr>
            </w:pPr>
            <w:r>
              <w:rPr>
                <w:rFonts w:ascii="Times New Roman" w:hAnsi="Times New Roman" w:cs="Times New Roman"/>
                <w:sz w:val="24"/>
                <w:szCs w:val="24"/>
              </w:rPr>
              <w:t>在离心过程中可更改运行参数</w:t>
            </w:r>
          </w:p>
        </w:tc>
        <w:tc>
          <w:tcPr>
            <w:tcW w:w="1843" w:type="dxa"/>
            <w:tcBorders>
              <w:top w:val="single" w:color="auto" w:sz="4" w:space="0"/>
              <w:left w:val="nil"/>
              <w:bottom w:val="single" w:color="auto" w:sz="4" w:space="0"/>
              <w:right w:val="single" w:color="auto" w:sz="8"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2.10</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s="Times New Roman"/>
                <w:kern w:val="0"/>
                <w:sz w:val="24"/>
                <w:szCs w:val="24"/>
              </w:rPr>
            </w:pPr>
            <w:r>
              <w:rPr>
                <w:rFonts w:ascii="Times New Roman" w:hAnsi="Times New Roman" w:cs="Times New Roman"/>
                <w:kern w:val="0"/>
                <w:sz w:val="24"/>
                <w:szCs w:val="24"/>
              </w:rPr>
              <w:t>参数10</w:t>
            </w:r>
          </w:p>
        </w:tc>
        <w:tc>
          <w:tcPr>
            <w:tcW w:w="4961" w:type="dxa"/>
            <w:tcBorders>
              <w:top w:val="nil"/>
              <w:left w:val="nil"/>
              <w:bottom w:val="single" w:color="auto" w:sz="4" w:space="0"/>
              <w:right w:val="single" w:color="auto" w:sz="4" w:space="0"/>
            </w:tcBorders>
            <w:vAlign w:val="center"/>
          </w:tcPr>
          <w:p>
            <w:pPr>
              <w:spacing w:line="276" w:lineRule="auto"/>
              <w:rPr>
                <w:rFonts w:ascii="Times New Roman" w:hAnsi="Times New Roman" w:cs="Times New Roman"/>
                <w:sz w:val="24"/>
                <w:szCs w:val="24"/>
              </w:rPr>
            </w:pPr>
            <w:r>
              <w:rPr>
                <w:rFonts w:ascii="Times New Roman" w:hAnsi="Times New Roman" w:cs="Times New Roman"/>
                <w:sz w:val="24"/>
                <w:szCs w:val="24"/>
              </w:rPr>
              <w:t>具备智能化控制系统，电源中断可自动启动转子驱动装置进行减速</w:t>
            </w:r>
          </w:p>
        </w:tc>
        <w:tc>
          <w:tcPr>
            <w:tcW w:w="1843" w:type="dxa"/>
            <w:tcBorders>
              <w:top w:val="single" w:color="auto" w:sz="4" w:space="0"/>
              <w:left w:val="nil"/>
              <w:bottom w:val="single" w:color="auto" w:sz="4" w:space="0"/>
              <w:right w:val="single" w:color="auto" w:sz="8"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2.11</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s="Times New Roman"/>
                <w:kern w:val="0"/>
                <w:sz w:val="24"/>
                <w:szCs w:val="24"/>
              </w:rPr>
            </w:pPr>
            <w:r>
              <w:rPr>
                <w:rFonts w:ascii="Times New Roman" w:hAnsi="Times New Roman" w:cs="Times New Roman"/>
                <w:kern w:val="0"/>
                <w:sz w:val="24"/>
                <w:szCs w:val="24"/>
              </w:rPr>
              <w:t>参数11</w:t>
            </w:r>
          </w:p>
        </w:tc>
        <w:tc>
          <w:tcPr>
            <w:tcW w:w="4961" w:type="dxa"/>
            <w:tcBorders>
              <w:top w:val="nil"/>
              <w:left w:val="nil"/>
              <w:bottom w:val="single" w:color="auto" w:sz="4" w:space="0"/>
              <w:right w:val="single" w:color="auto" w:sz="4" w:space="0"/>
            </w:tcBorders>
            <w:vAlign w:val="center"/>
          </w:tcPr>
          <w:p>
            <w:pPr>
              <w:spacing w:line="276" w:lineRule="auto"/>
              <w:rPr>
                <w:rFonts w:ascii="Times New Roman" w:hAnsi="Times New Roman" w:cs="Times New Roman"/>
                <w:sz w:val="24"/>
                <w:szCs w:val="24"/>
              </w:rPr>
            </w:pPr>
            <w:r>
              <w:rPr>
                <w:rFonts w:ascii="Times New Roman" w:hAnsi="Times New Roman" w:cs="Times New Roman"/>
                <w:sz w:val="24"/>
                <w:szCs w:val="24"/>
              </w:rPr>
              <w:t>数字显示；实时RPM/RCF互换读数显示</w:t>
            </w:r>
          </w:p>
        </w:tc>
        <w:tc>
          <w:tcPr>
            <w:tcW w:w="1843" w:type="dxa"/>
            <w:tcBorders>
              <w:top w:val="single" w:color="auto" w:sz="4" w:space="0"/>
              <w:left w:val="nil"/>
              <w:bottom w:val="single" w:color="auto" w:sz="4" w:space="0"/>
              <w:right w:val="single" w:color="auto" w:sz="8"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2.12</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s="Times New Roman"/>
                <w:kern w:val="0"/>
                <w:sz w:val="24"/>
                <w:szCs w:val="24"/>
              </w:rPr>
            </w:pPr>
            <w:r>
              <w:rPr>
                <w:rFonts w:ascii="Times New Roman" w:hAnsi="Times New Roman" w:cs="Times New Roman"/>
                <w:kern w:val="0"/>
                <w:sz w:val="24"/>
                <w:szCs w:val="24"/>
              </w:rPr>
              <w:t>参数12</w:t>
            </w:r>
          </w:p>
        </w:tc>
        <w:tc>
          <w:tcPr>
            <w:tcW w:w="4961" w:type="dxa"/>
            <w:tcBorders>
              <w:top w:val="nil"/>
              <w:left w:val="nil"/>
              <w:bottom w:val="single" w:color="auto" w:sz="4" w:space="0"/>
              <w:right w:val="single" w:color="auto" w:sz="4" w:space="0"/>
            </w:tcBorders>
            <w:vAlign w:val="center"/>
          </w:tcPr>
          <w:p>
            <w:pPr>
              <w:spacing w:line="276" w:lineRule="auto"/>
              <w:rPr>
                <w:rFonts w:ascii="Times New Roman" w:hAnsi="Times New Roman" w:cs="Times New Roman"/>
                <w:sz w:val="24"/>
                <w:szCs w:val="24"/>
              </w:rPr>
            </w:pPr>
            <w:r>
              <w:rPr>
                <w:rFonts w:ascii="Times New Roman" w:hAnsi="Times New Roman" w:cs="Times New Roman"/>
                <w:sz w:val="24"/>
                <w:szCs w:val="24"/>
              </w:rPr>
              <w:t>时间设定范围：10 秒至 99 小时 59 分钟 59 秒或持续</w:t>
            </w:r>
          </w:p>
        </w:tc>
        <w:tc>
          <w:tcPr>
            <w:tcW w:w="1843" w:type="dxa"/>
            <w:tcBorders>
              <w:top w:val="single" w:color="auto" w:sz="4" w:space="0"/>
              <w:left w:val="nil"/>
              <w:bottom w:val="single" w:color="auto" w:sz="4" w:space="0"/>
              <w:right w:val="single" w:color="auto" w:sz="8"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2.13</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s="Times New Roman"/>
                <w:kern w:val="0"/>
                <w:sz w:val="24"/>
                <w:szCs w:val="24"/>
              </w:rPr>
            </w:pPr>
            <w:r>
              <w:rPr>
                <w:rFonts w:ascii="Times New Roman" w:hAnsi="Times New Roman" w:cs="Times New Roman"/>
                <w:kern w:val="0"/>
                <w:sz w:val="24"/>
                <w:szCs w:val="24"/>
              </w:rPr>
              <w:t>参数13</w:t>
            </w:r>
          </w:p>
        </w:tc>
        <w:tc>
          <w:tcPr>
            <w:tcW w:w="4961" w:type="dxa"/>
            <w:tcBorders>
              <w:top w:val="nil"/>
              <w:left w:val="nil"/>
              <w:bottom w:val="single" w:color="auto" w:sz="4" w:space="0"/>
              <w:right w:val="single" w:color="auto" w:sz="4" w:space="0"/>
            </w:tcBorders>
            <w:vAlign w:val="center"/>
          </w:tcPr>
          <w:p>
            <w:pPr>
              <w:spacing w:line="276" w:lineRule="auto"/>
              <w:rPr>
                <w:rFonts w:ascii="Times New Roman" w:hAnsi="Times New Roman" w:cs="Times New Roman"/>
                <w:sz w:val="24"/>
                <w:szCs w:val="24"/>
              </w:rPr>
            </w:pPr>
            <w:r>
              <w:rPr>
                <w:rFonts w:ascii="Times New Roman" w:hAnsi="Times New Roman" w:cs="Times New Roman"/>
                <w:sz w:val="24"/>
                <w:szCs w:val="24"/>
              </w:rPr>
              <w:t>具备转头不平衡检测、超速、超温保护功能</w:t>
            </w:r>
          </w:p>
        </w:tc>
        <w:tc>
          <w:tcPr>
            <w:tcW w:w="1843" w:type="dxa"/>
            <w:tcBorders>
              <w:top w:val="single" w:color="auto" w:sz="4" w:space="0"/>
              <w:left w:val="nil"/>
              <w:bottom w:val="single" w:color="auto" w:sz="4" w:space="0"/>
              <w:right w:val="single" w:color="auto" w:sz="8"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77"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hint="eastAsia" w:ascii="Times New Roman" w:hAnsi="Times New Roman" w:cs="Times New Roman"/>
                <w:kern w:val="0"/>
                <w:sz w:val="24"/>
                <w:szCs w:val="24"/>
              </w:rPr>
              <w:t>2.14</w:t>
            </w:r>
          </w:p>
        </w:tc>
        <w:tc>
          <w:tcPr>
            <w:tcW w:w="1701" w:type="dxa"/>
            <w:tcBorders>
              <w:top w:val="nil"/>
              <w:left w:val="nil"/>
              <w:bottom w:val="single" w:color="auto" w:sz="4" w:space="0"/>
              <w:right w:val="single" w:color="auto" w:sz="4" w:space="0"/>
            </w:tcBorders>
            <w:vAlign w:val="center"/>
          </w:tcPr>
          <w:p>
            <w:pPr>
              <w:jc w:val="center"/>
              <w:rPr>
                <w:rFonts w:ascii="Times New Roman" w:hAnsi="Times New Roman" w:cs="Times New Roman"/>
                <w:kern w:val="0"/>
                <w:sz w:val="24"/>
                <w:szCs w:val="24"/>
              </w:rPr>
            </w:pPr>
            <w:r>
              <w:rPr>
                <w:rFonts w:ascii="Times New Roman" w:hAnsi="Times New Roman" w:cs="Times New Roman"/>
                <w:kern w:val="0"/>
                <w:sz w:val="24"/>
                <w:szCs w:val="24"/>
              </w:rPr>
              <w:t>参数1</w:t>
            </w:r>
            <w:r>
              <w:rPr>
                <w:rFonts w:hint="eastAsia" w:ascii="Times New Roman" w:hAnsi="Times New Roman" w:cs="Times New Roman"/>
                <w:kern w:val="0"/>
                <w:sz w:val="24"/>
                <w:szCs w:val="24"/>
              </w:rPr>
              <w:t>4</w:t>
            </w:r>
          </w:p>
        </w:tc>
        <w:tc>
          <w:tcPr>
            <w:tcW w:w="4961" w:type="dxa"/>
            <w:tcBorders>
              <w:top w:val="nil"/>
              <w:left w:val="nil"/>
              <w:bottom w:val="single" w:color="auto" w:sz="4" w:space="0"/>
              <w:right w:val="single" w:color="auto" w:sz="4" w:space="0"/>
            </w:tcBorders>
            <w:vAlign w:val="center"/>
          </w:tcPr>
          <w:p>
            <w:pPr>
              <w:pStyle w:val="19"/>
              <w:ind w:firstLine="0" w:firstLineChars="0"/>
              <w:rPr>
                <w:rFonts w:ascii="Times New Roman" w:hAnsi="Times New Roman" w:cs="Times New Roman"/>
                <w:sz w:val="24"/>
                <w:szCs w:val="24"/>
              </w:rPr>
            </w:pPr>
            <w:r>
              <w:rPr>
                <w:rFonts w:hint="eastAsia" w:ascii="Times New Roman" w:hAnsi="Times New Roman" w:cs="Times New Roman"/>
                <w:sz w:val="24"/>
                <w:szCs w:val="24"/>
              </w:rPr>
              <w:t>噪音≤</w:t>
            </w:r>
            <w:r>
              <w:rPr>
                <w:rFonts w:ascii="Times New Roman" w:hAnsi="Times New Roman" w:cs="Times New Roman"/>
                <w:sz w:val="24"/>
                <w:szCs w:val="24"/>
              </w:rPr>
              <w:t>55 dBA</w:t>
            </w:r>
            <w:r>
              <w:rPr>
                <w:rFonts w:hint="eastAsia" w:ascii="Times New Roman" w:hAnsi="Times New Roman" w:cs="Times New Roman"/>
                <w:sz w:val="24"/>
                <w:szCs w:val="24"/>
              </w:rPr>
              <w:t>；</w:t>
            </w:r>
          </w:p>
        </w:tc>
        <w:tc>
          <w:tcPr>
            <w:tcW w:w="1843" w:type="dxa"/>
            <w:tcBorders>
              <w:top w:val="single" w:color="auto" w:sz="4" w:space="0"/>
              <w:left w:val="nil"/>
              <w:bottom w:val="single" w:color="auto" w:sz="4" w:space="0"/>
              <w:right w:val="single" w:color="auto" w:sz="8" w:space="0"/>
            </w:tcBorders>
            <w:vAlign w:val="center"/>
          </w:tcPr>
          <w:p>
            <w:pPr>
              <w:widowControl/>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jc w:val="center"/>
        </w:trPr>
        <w:tc>
          <w:tcPr>
            <w:tcW w:w="1135" w:type="dxa"/>
            <w:tcBorders>
              <w:top w:val="nil"/>
              <w:left w:val="single" w:color="auto" w:sz="8"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w:t>
            </w:r>
          </w:p>
        </w:tc>
        <w:tc>
          <w:tcPr>
            <w:tcW w:w="1701" w:type="dxa"/>
            <w:tcBorders>
              <w:top w:val="nil"/>
              <w:left w:val="nil"/>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b/>
                <w:bCs/>
                <w:kern w:val="0"/>
                <w:sz w:val="24"/>
                <w:szCs w:val="24"/>
              </w:rPr>
              <w:t>配置</w:t>
            </w:r>
          </w:p>
        </w:tc>
        <w:tc>
          <w:tcPr>
            <w:tcW w:w="4961" w:type="dxa"/>
            <w:tcBorders>
              <w:top w:val="nil"/>
              <w:left w:val="nil"/>
              <w:bottom w:val="single" w:color="auto" w:sz="4" w:space="0"/>
              <w:right w:val="single" w:color="auto" w:sz="4" w:space="0"/>
            </w:tcBorders>
            <w:vAlign w:val="center"/>
          </w:tcPr>
          <w:p>
            <w:pPr>
              <w:rPr>
                <w:rFonts w:ascii="Times New Roman" w:hAnsi="Times New Roman" w:cs="Times New Roman"/>
                <w:b/>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3.1</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配置1</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 w:val="24"/>
                <w:szCs w:val="24"/>
                <w:lang w:bidi="zh-CN"/>
              </w:rPr>
            </w:pPr>
            <w:r>
              <w:rPr>
                <w:rFonts w:ascii="Times New Roman" w:hAnsi="Times New Roman" w:cs="Times New Roman"/>
                <w:sz w:val="24"/>
                <w:szCs w:val="24"/>
              </w:rPr>
              <w:t>台式冷冻离心机主机  1台</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3.2</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配置2</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kern w:val="0"/>
                <w:sz w:val="24"/>
                <w:szCs w:val="24"/>
                <w:lang w:bidi="zh-CN"/>
              </w:rPr>
            </w:pPr>
            <w:r>
              <w:rPr>
                <w:rFonts w:ascii="Times New Roman" w:hAnsi="Times New Roman" w:cs="Times New Roman"/>
                <w:sz w:val="24"/>
                <w:szCs w:val="24"/>
              </w:rPr>
              <w:t>4×750 mL最高转速≥4700 rpm，最大离心力≥4600xg水平转头  1个</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3.3</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配置3</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10mL圆底适配器   1套</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p>
        </w:tc>
      </w:tr>
      <w:tr>
        <w:tblPrEx>
          <w:tblCellMar>
            <w:top w:w="0" w:type="dxa"/>
            <w:left w:w="108" w:type="dxa"/>
            <w:bottom w:w="0" w:type="dxa"/>
            <w:right w:w="108" w:type="dxa"/>
          </w:tblCellMar>
        </w:tblPrEx>
        <w:trPr>
          <w:trHeight w:val="623" w:hRule="atLeast"/>
          <w:jc w:val="center"/>
        </w:trPr>
        <w:tc>
          <w:tcPr>
            <w:tcW w:w="113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3.4</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配置4</w:t>
            </w:r>
          </w:p>
        </w:tc>
        <w:tc>
          <w:tcPr>
            <w:tcW w:w="496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ascii="Times New Roman" w:hAnsi="Times New Roman" w:cs="Times New Roman"/>
                <w:sz w:val="24"/>
                <w:szCs w:val="24"/>
              </w:rPr>
              <w:t>15、50mL尖底适配器各 1套</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kern w:val="0"/>
                <w:sz w:val="24"/>
                <w:szCs w:val="24"/>
              </w:rPr>
            </w:pPr>
          </w:p>
        </w:tc>
      </w:tr>
    </w:tbl>
    <w:p>
      <w:pPr>
        <w:pStyle w:val="6"/>
        <w:widowControl/>
        <w:shd w:val="clear" w:color="auto" w:fill="FFFFFF"/>
        <w:spacing w:beforeAutospacing="0" w:after="105" w:afterAutospacing="0" w:line="360" w:lineRule="auto"/>
        <w:rPr>
          <w:rFonts w:hint="default" w:asciiTheme="minorEastAsia" w:hAnsiTheme="minorEastAsia" w:eastAsiaTheme="minorEastAsia" w:cstheme="minorEastAsia"/>
          <w:sz w:val="28"/>
          <w:szCs w:val="28"/>
          <w:shd w:val="clear" w:color="auto" w:fill="FFFFFF"/>
        </w:rPr>
      </w:pPr>
    </w:p>
    <w:p>
      <w:pPr>
        <w:pStyle w:val="6"/>
        <w:widowControl/>
        <w:numPr>
          <w:ilvl w:val="0"/>
          <w:numId w:val="3"/>
        </w:numPr>
        <w:shd w:val="clear" w:color="auto" w:fill="FFFFFF"/>
        <w:spacing w:beforeAutospacing="0" w:after="105" w:afterAutospacing="0" w:line="360" w:lineRule="auto"/>
        <w:rPr>
          <w:rFonts w:hint="default" w:asciiTheme="minorEastAsia" w:hAnsiTheme="minorEastAsia" w:eastAsiaTheme="minorEastAsia" w:cstheme="minorEastAsia"/>
          <w:sz w:val="28"/>
          <w:szCs w:val="28"/>
          <w:shd w:val="clear" w:color="auto" w:fill="FFFFFF"/>
        </w:rPr>
      </w:pPr>
      <w:r>
        <w:rPr>
          <w:rFonts w:asciiTheme="minorEastAsia" w:hAnsiTheme="minorEastAsia" w:eastAsiaTheme="minorEastAsia" w:cstheme="minorEastAsia"/>
          <w:sz w:val="28"/>
          <w:szCs w:val="28"/>
          <w:shd w:val="clear" w:color="auto" w:fill="FFFFFF"/>
        </w:rPr>
        <w:t>商务需求</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（一）实施要求</w:t>
      </w:r>
    </w:p>
    <w:p>
      <w:pPr>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1.实施时间：采购合同生效后，</w:t>
      </w:r>
      <w:r>
        <w:rPr>
          <w:rFonts w:hint="eastAsia" w:ascii="宋体" w:hAnsi="宋体" w:cs="宋体"/>
          <w:sz w:val="28"/>
          <w:szCs w:val="28"/>
          <w:u w:val="single"/>
        </w:rPr>
        <w:t>30</w:t>
      </w:r>
      <w:r>
        <w:rPr>
          <w:rFonts w:hint="eastAsia" w:ascii="宋体" w:hAnsi="宋体" w:cs="宋体"/>
          <w:sz w:val="28"/>
          <w:szCs w:val="28"/>
        </w:rPr>
        <w:t>日内送货到采购人指定地点。</w:t>
      </w:r>
    </w:p>
    <w:p>
      <w:pPr>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2.实施地点：重庆市沙坪坝区高滩岩正街30号。</w:t>
      </w:r>
    </w:p>
    <w:p>
      <w:pPr>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3.实施方式：成交人按照采购单位的订购数量，将货物送到采购人指定交货地点。</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（二）售后服务</w:t>
      </w:r>
    </w:p>
    <w:p>
      <w:pPr>
        <w:spacing w:line="360" w:lineRule="auto"/>
        <w:ind w:firstLine="560" w:firstLineChars="200"/>
        <w:jc w:val="left"/>
        <w:rPr>
          <w:rFonts w:ascii="宋体" w:hAnsi="宋体" w:cs="宋体"/>
          <w:sz w:val="28"/>
          <w:szCs w:val="28"/>
        </w:rPr>
      </w:pPr>
      <w:r>
        <w:rPr>
          <w:rFonts w:hint="eastAsia" w:ascii="宋体" w:hAnsi="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cs="宋体"/>
          <w:sz w:val="28"/>
          <w:szCs w:val="28"/>
        </w:rPr>
        <w:t>售后需满足以下要求：</w:t>
      </w:r>
    </w:p>
    <w:tbl>
      <w:tblPr>
        <w:tblStyle w:val="14"/>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gridSpan w:val="2"/>
            <w:vAlign w:val="center"/>
          </w:tcPr>
          <w:p>
            <w:pPr>
              <w:spacing w:line="360" w:lineRule="auto"/>
              <w:jc w:val="center"/>
              <w:rPr>
                <w:rFonts w:ascii="宋体" w:hAnsi="宋体" w:cs="宋体"/>
                <w:b/>
                <w:bCs/>
                <w:sz w:val="24"/>
                <w:szCs w:val="24"/>
              </w:rPr>
            </w:pPr>
            <w:r>
              <w:rPr>
                <w:rFonts w:hint="eastAsia" w:ascii="宋体" w:hAnsi="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t>保修年限</w:t>
            </w:r>
          </w:p>
        </w:tc>
        <w:tc>
          <w:tcPr>
            <w:tcW w:w="6736"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kern w:val="0"/>
                <w:sz w:val="24"/>
                <w:szCs w:val="24"/>
              </w:rPr>
              <w:t>≥2</w:t>
            </w:r>
            <w:r>
              <w:rPr>
                <w:rFonts w:ascii="Times New Roman" w:hAnsi="Times New Roman"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spacing w:line="360" w:lineRule="auto"/>
              <w:jc w:val="center"/>
              <w:rPr>
                <w:rFonts w:ascii="Times New Roman" w:hAnsi="Times New Roman" w:cs="Times New Roman"/>
                <w:sz w:val="24"/>
                <w:szCs w:val="24"/>
              </w:rPr>
            </w:pPr>
            <w:r>
              <w:rPr>
                <w:rFonts w:ascii="Times New Roman" w:hAnsi="Times New Roman" w:cs="Times New Roman"/>
                <w:sz w:val="24"/>
                <w:szCs w:val="24"/>
              </w:rPr>
              <w:t>出现故障回应时间</w:t>
            </w:r>
          </w:p>
        </w:tc>
        <w:tc>
          <w:tcPr>
            <w:tcW w:w="6736" w:type="dxa"/>
            <w:vAlign w:val="center"/>
          </w:tcPr>
          <w:p>
            <w:pPr>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报修2小时内响应</w:t>
            </w:r>
          </w:p>
          <w:p>
            <w:pPr>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维修到达现场时间≤ 24小时（本地）</w:t>
            </w:r>
          </w:p>
          <w:p>
            <w:pPr>
              <w:spacing w:line="360" w:lineRule="auto"/>
              <w:jc w:val="center"/>
              <w:rPr>
                <w:rFonts w:ascii="Times New Roman" w:hAnsi="Times New Roman" w:cs="Times New Roman"/>
                <w:sz w:val="24"/>
                <w:szCs w:val="24"/>
              </w:rPr>
            </w:pPr>
            <w:r>
              <w:rPr>
                <w:rFonts w:ascii="Times New Roman" w:hAnsi="Times New Roman" w:cs="Times New Roman"/>
                <w:kern w:val="0"/>
                <w:sz w:val="24"/>
                <w:szCs w:val="24"/>
              </w:rPr>
              <w:t>维修到达现场时间≤72小时（外地）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维修支持</w:t>
            </w:r>
          </w:p>
        </w:tc>
        <w:tc>
          <w:tcPr>
            <w:tcW w:w="6736" w:type="dxa"/>
            <w:vAlign w:val="center"/>
          </w:tcPr>
          <w:p>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配件供应时间≥</w:t>
            </w:r>
            <w:r>
              <w:rPr>
                <w:rFonts w:hint="eastAsia" w:ascii="Times New Roman" w:hAnsi="Times New Roman" w:cs="Times New Roman"/>
                <w:kern w:val="0"/>
                <w:sz w:val="24"/>
                <w:szCs w:val="24"/>
                <w:lang w:val="en-US" w:eastAsia="zh-CN"/>
              </w:rPr>
              <w:t>8</w:t>
            </w:r>
            <w:bookmarkStart w:id="538" w:name="_GoBack"/>
            <w:bookmarkEnd w:id="538"/>
            <w:r>
              <w:rPr>
                <w:rFonts w:ascii="Times New Roman" w:hAnsi="Times New Roman" w:cs="Times New Roman"/>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维修资料</w:t>
            </w:r>
          </w:p>
        </w:tc>
        <w:tc>
          <w:tcPr>
            <w:tcW w:w="6736" w:type="dxa"/>
            <w:vAlign w:val="center"/>
          </w:tcPr>
          <w:p>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预防性维修</w:t>
            </w:r>
          </w:p>
          <w:p>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/定期维护保养</w:t>
            </w:r>
          </w:p>
        </w:tc>
        <w:tc>
          <w:tcPr>
            <w:tcW w:w="6736" w:type="dxa"/>
            <w:vAlign w:val="center"/>
          </w:tcPr>
          <w:p>
            <w:pPr>
              <w:widowControl/>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保修期满前一个月供应商</w:t>
            </w:r>
            <w:r>
              <w:rPr>
                <w:rFonts w:ascii="Times New Roman" w:hAnsi="Times New Roman" w:cs="Times New Roman"/>
                <w:sz w:val="24"/>
                <w:szCs w:val="24"/>
              </w:rPr>
              <w:t>免费对仪器进行一次全面检查、维护，并出具正式报告；如发现潜在问题，应负责解决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172" w:type="dxa"/>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升级</w:t>
            </w:r>
          </w:p>
        </w:tc>
        <w:tc>
          <w:tcPr>
            <w:tcW w:w="6736" w:type="dxa"/>
            <w:vAlign w:val="center"/>
          </w:tcPr>
          <w:p>
            <w:pPr>
              <w:widowControl/>
              <w:jc w:val="center"/>
              <w:rPr>
                <w:rFonts w:ascii="Times New Roman" w:hAnsi="Times New Roman" w:cs="Times New Roman"/>
                <w:kern w:val="0"/>
                <w:sz w:val="24"/>
                <w:szCs w:val="24"/>
              </w:rPr>
            </w:pPr>
            <w:r>
              <w:rPr>
                <w:rFonts w:ascii="Times New Roman" w:hAnsi="Times New Roman" w:cs="Times New Roman"/>
                <w:kern w:val="0"/>
                <w:sz w:val="24"/>
                <w:szCs w:val="24"/>
              </w:rPr>
              <w:t>终身免费软件升级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widowControl/>
              <w:spacing w:line="360" w:lineRule="auto"/>
              <w:jc w:val="center"/>
              <w:rPr>
                <w:rFonts w:ascii="Times New Roman" w:hAnsi="Times New Roman" w:cs="Times New Roman"/>
                <w:kern w:val="0"/>
                <w:sz w:val="24"/>
                <w:szCs w:val="24"/>
              </w:rPr>
            </w:pPr>
            <w:r>
              <w:rPr>
                <w:rFonts w:ascii="Times New Roman" w:hAnsi="Times New Roman" w:cs="Times New Roman"/>
                <w:kern w:val="0"/>
                <w:sz w:val="24"/>
                <w:szCs w:val="24"/>
              </w:rPr>
              <w:t>使用培训</w:t>
            </w:r>
          </w:p>
        </w:tc>
        <w:tc>
          <w:tcPr>
            <w:tcW w:w="6736" w:type="dxa"/>
            <w:vAlign w:val="center"/>
          </w:tcPr>
          <w:p>
            <w:pPr>
              <w:widowControl/>
              <w:spacing w:line="360" w:lineRule="auto"/>
              <w:jc w:val="center"/>
              <w:rPr>
                <w:rFonts w:ascii="Times New Roman" w:hAnsi="Times New Roman" w:cs="Times New Roman"/>
                <w:color w:val="000000" w:themeColor="text1"/>
                <w:kern w:val="0"/>
                <w:sz w:val="24"/>
                <w:szCs w:val="24"/>
                <w14:textFill>
                  <w14:solidFill>
                    <w14:schemeClr w14:val="tx1"/>
                  </w14:solidFill>
                </w14:textFill>
              </w:rPr>
            </w:pPr>
            <w:r>
              <w:rPr>
                <w:rFonts w:ascii="Times New Roman" w:hAnsi="Times New Roman" w:cs="Times New Roman"/>
                <w:color w:val="000000" w:themeColor="text1"/>
                <w:kern w:val="0"/>
                <w:sz w:val="24"/>
                <w:szCs w:val="24"/>
                <w14:textFill>
                  <w14:solidFill>
                    <w14:schemeClr w14:val="tx1"/>
                  </w14:solidFill>
                </w14:textFill>
              </w:rPr>
              <w:t>提供</w:t>
            </w:r>
            <w:r>
              <w:rPr>
                <w:rFonts w:hint="eastAsia" w:ascii="Times New Roman" w:hAnsi="Times New Roman" w:cs="Times New Roman"/>
                <w:color w:val="000000" w:themeColor="text1"/>
                <w:kern w:val="0"/>
                <w:sz w:val="24"/>
                <w:szCs w:val="24"/>
                <w14:textFill>
                  <w14:solidFill>
                    <w14:schemeClr w14:val="tx1"/>
                  </w14:solidFill>
                </w14:textFill>
              </w:rPr>
              <w:t>2次使用培训，后期电话</w:t>
            </w:r>
            <w:r>
              <w:rPr>
                <w:rFonts w:ascii="Times New Roman" w:hAnsi="Times New Roman" w:cs="Times New Roman"/>
                <w:color w:val="000000" w:themeColor="text1"/>
                <w:kern w:val="0"/>
                <w:sz w:val="24"/>
                <w:szCs w:val="24"/>
                <w14:textFill>
                  <w14:solidFill>
                    <w14:schemeClr w14:val="tx1"/>
                  </w14:solidFill>
                </w14:textFill>
              </w:rPr>
              <w:t>培训</w:t>
            </w:r>
            <w:r>
              <w:rPr>
                <w:rFonts w:hint="eastAsia" w:ascii="Times New Roman" w:hAnsi="Times New Roman" w:cs="Times New Roman"/>
                <w:color w:val="000000" w:themeColor="text1"/>
                <w:kern w:val="0"/>
                <w:sz w:val="24"/>
                <w:szCs w:val="24"/>
                <w14:textFill>
                  <w14:solidFill>
                    <w14:schemeClr w14:val="tx1"/>
                  </w14:solidFill>
                </w14:textFill>
              </w:rPr>
              <w:t>或远程操作培训，不限次数</w:t>
            </w:r>
          </w:p>
        </w:tc>
      </w:tr>
    </w:tbl>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（三）付款方式</w:t>
      </w:r>
    </w:p>
    <w:p>
      <w:pPr>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仪器安装、调试与技术培训完毕，经采购人验收合格后，成交人提供相关票据单证，签字确认后支付合同金额。</w:t>
      </w:r>
    </w:p>
    <w:p>
      <w:pPr>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（四）验收方式</w:t>
      </w:r>
    </w:p>
    <w:p>
      <w:pPr>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（五）知识产权</w:t>
      </w:r>
    </w:p>
    <w:p>
      <w:pPr>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snapToGrid w:val="0"/>
        <w:spacing w:line="360" w:lineRule="auto"/>
        <w:ind w:firstLine="560" w:firstLineChars="200"/>
        <w:jc w:val="left"/>
        <w:rPr>
          <w:rFonts w:ascii="宋体" w:hAnsi="宋体" w:cs="宋体"/>
          <w:sz w:val="28"/>
          <w:szCs w:val="28"/>
        </w:rPr>
      </w:pPr>
      <w:r>
        <w:rPr>
          <w:rFonts w:hint="eastAsia" w:ascii="宋体" w:hAnsi="宋体" w:cs="宋体"/>
          <w:sz w:val="28"/>
          <w:szCs w:val="28"/>
        </w:rPr>
        <w:t>本研发服务项目产生的成果，包括但不限于专利、实用新型专利、著作权等为甲方所有。</w:t>
      </w: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（六）其他</w:t>
      </w:r>
    </w:p>
    <w:p>
      <w:pPr>
        <w:pStyle w:val="2"/>
        <w:spacing w:line="360" w:lineRule="auto"/>
        <w:ind w:firstLine="840" w:firstLineChars="300"/>
        <w:rPr>
          <w:rFonts w:ascii="宋体" w:hAnsi="宋体" w:cs="宋体"/>
          <w:sz w:val="28"/>
          <w:szCs w:val="28"/>
        </w:rPr>
      </w:pPr>
      <w:r>
        <w:rPr>
          <w:rFonts w:hint="eastAsia" w:ascii="宋体" w:hAnsi="宋体" w:cs="宋体"/>
          <w:sz w:val="28"/>
          <w:szCs w:val="28"/>
        </w:rPr>
        <w:t>无</w:t>
      </w:r>
    </w:p>
    <w:p>
      <w:pPr>
        <w:spacing w:line="360" w:lineRule="auto"/>
      </w:pPr>
      <w:r>
        <w:rPr>
          <w:rFonts w:hint="eastAsia"/>
        </w:rPr>
        <w:br w:type="page"/>
      </w:r>
    </w:p>
    <w:p>
      <w:pPr>
        <w:pStyle w:val="4"/>
        <w:keepNext w:val="0"/>
        <w:keepLines w:val="0"/>
        <w:adjustRightInd w:val="0"/>
        <w:snapToGrid w:val="0"/>
        <w:spacing w:line="560" w:lineRule="exact"/>
        <w:jc w:val="center"/>
        <w:rPr>
          <w:b w:val="0"/>
          <w:szCs w:val="44"/>
          <w:lang w:val="zh-CN"/>
        </w:rPr>
      </w:pPr>
      <w:bookmarkStart w:id="366" w:name="_Toc3796"/>
      <w:bookmarkStart w:id="367" w:name="_Toc9985"/>
      <w:bookmarkStart w:id="368" w:name="_Toc17705"/>
      <w:bookmarkStart w:id="369" w:name="_Toc11210"/>
      <w:bookmarkStart w:id="370" w:name="_Toc112768455"/>
      <w:bookmarkStart w:id="371" w:name="_Toc5265"/>
      <w:bookmarkStart w:id="372" w:name="_Toc150421233"/>
      <w:bookmarkStart w:id="373" w:name="_Toc152058276"/>
      <w:r>
        <w:rPr>
          <w:rFonts w:hint="eastAsia"/>
          <w:b w:val="0"/>
          <w:szCs w:val="44"/>
          <w:lang w:val="zh-CN"/>
        </w:rPr>
        <w:t>第</w:t>
      </w:r>
      <w:r>
        <w:rPr>
          <w:rFonts w:hint="eastAsia"/>
          <w:b w:val="0"/>
          <w:szCs w:val="44"/>
        </w:rPr>
        <w:t>四部分</w:t>
      </w:r>
      <w:r>
        <w:rPr>
          <w:b w:val="0"/>
          <w:szCs w:val="44"/>
          <w:lang w:val="zh-CN"/>
        </w:rPr>
        <w:t xml:space="preserve"> </w:t>
      </w:r>
      <w:bookmarkStart w:id="374" w:name="_Hlk112353117"/>
      <w:r>
        <w:rPr>
          <w:rFonts w:hint="eastAsia"/>
          <w:b w:val="0"/>
          <w:szCs w:val="44"/>
          <w:lang w:val="zh-CN"/>
        </w:rPr>
        <w:t>报价文件内容及格式</w:t>
      </w:r>
      <w:bookmarkEnd w:id="366"/>
      <w:bookmarkEnd w:id="367"/>
      <w:bookmarkEnd w:id="368"/>
      <w:bookmarkEnd w:id="369"/>
      <w:bookmarkEnd w:id="370"/>
      <w:bookmarkEnd w:id="371"/>
      <w:bookmarkEnd w:id="372"/>
      <w:bookmarkEnd w:id="373"/>
      <w:bookmarkEnd w:id="374"/>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报价供应商制作报价文件时，应当对照《资格性审查表》《符合性审查表》《商务评审标准表》《技术评审标准表》提供尽可能详细的证明</w:t>
      </w:r>
      <w:r>
        <w:rPr>
          <w:rFonts w:hint="eastAsia" w:ascii="宋体" w:hAnsi="宋体"/>
          <w:bCs/>
          <w:sz w:val="28"/>
          <w:szCs w:val="28"/>
        </w:rPr>
        <w:t>材料</w:t>
      </w:r>
      <w:r>
        <w:rPr>
          <w:rFonts w:hint="eastAsia"/>
          <w:bCs/>
          <w:sz w:val="28"/>
          <w:szCs w:val="28"/>
        </w:rPr>
        <w:t>。</w:t>
      </w:r>
    </w:p>
    <w:p>
      <w:pPr>
        <w:widowControl/>
        <w:ind w:firstLine="420" w:firstLineChars="200"/>
        <w:jc w:val="left"/>
        <w:rPr>
          <w:rFonts w:ascii="宋体" w:hAnsi="宋体"/>
          <w:bCs/>
        </w:rPr>
      </w:pPr>
      <w:r>
        <w:rPr>
          <w:rFonts w:ascii="宋体" w:hAnsi="宋体"/>
          <w:bCs/>
        </w:rP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375" w:name="_Toc81213694"/>
      <w:bookmarkStart w:id="376" w:name="_Toc152058277"/>
      <w:bookmarkStart w:id="377" w:name="_Toc8608"/>
      <w:bookmarkStart w:id="378" w:name="_Toc18151"/>
      <w:bookmarkStart w:id="379" w:name="_Toc150421234"/>
      <w:bookmarkStart w:id="380" w:name="_Toc130887486"/>
      <w:bookmarkStart w:id="381" w:name="_Toc31021"/>
      <w:bookmarkStart w:id="382" w:name="_Toc3800"/>
      <w:r>
        <w:rPr>
          <w:rFonts w:hint="eastAsia" w:ascii="方正小标宋简体" w:eastAsia="方正小标宋简体"/>
          <w:bCs/>
          <w:sz w:val="52"/>
          <w:szCs w:val="52"/>
        </w:rPr>
        <w:t>一、</w:t>
      </w:r>
      <w:bookmarkEnd w:id="375"/>
      <w:r>
        <w:rPr>
          <w:rFonts w:hint="eastAsia" w:ascii="方正小标宋简体" w:eastAsia="方正小标宋简体"/>
          <w:bCs/>
          <w:sz w:val="52"/>
          <w:szCs w:val="52"/>
        </w:rPr>
        <w:t>价格文件</w:t>
      </w:r>
      <w:bookmarkEnd w:id="376"/>
      <w:bookmarkEnd w:id="377"/>
      <w:bookmarkEnd w:id="378"/>
      <w:bookmarkEnd w:id="379"/>
      <w:bookmarkEnd w:id="380"/>
      <w:bookmarkEnd w:id="381"/>
      <w:bookmarkEnd w:id="382"/>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pPr>
    </w:p>
    <w:p>
      <w:pPr>
        <w:spacing w:line="400" w:lineRule="exact"/>
        <w:ind w:firstLine="493" w:firstLineChars="235"/>
        <w:jc w:val="left"/>
        <w:rPr>
          <w:rFonts w:ascii="宋体" w:hAnsi="宋体"/>
          <w:bCs/>
        </w:rPr>
        <w:sectPr>
          <w:headerReference r:id="rId13" w:type="first"/>
          <w:headerReference r:id="rId11" w:type="default"/>
          <w:footerReference r:id="rId14" w:type="default"/>
          <w:headerReference r:id="rId12" w:type="even"/>
          <w:pgSz w:w="11906" w:h="16838"/>
          <w:pgMar w:top="1418" w:right="1134" w:bottom="1418" w:left="1418" w:header="851" w:footer="851" w:gutter="0"/>
          <w:cols w:space="720" w:num="1"/>
        </w:sectPr>
      </w:pPr>
    </w:p>
    <w:p>
      <w:pPr>
        <w:pStyle w:val="23"/>
        <w:spacing w:before="240"/>
        <w:rPr>
          <w:rFonts w:ascii="黑体" w:hAnsi="黑体" w:eastAsia="黑体" w:cs="黑体"/>
        </w:rPr>
      </w:pPr>
      <w:bookmarkStart w:id="383" w:name="_Toc17569"/>
      <w:bookmarkStart w:id="384" w:name="_Toc12113"/>
      <w:bookmarkStart w:id="385" w:name="_Toc27817"/>
      <w:bookmarkStart w:id="386" w:name="_Toc29368"/>
      <w:bookmarkStart w:id="387" w:name="_Toc22837"/>
      <w:bookmarkStart w:id="388" w:name="_Toc112768457"/>
      <w:r>
        <w:rPr>
          <w:rFonts w:hint="eastAsia" w:ascii="黑体" w:hAnsi="黑体" w:eastAsia="黑体" w:cs="黑体"/>
        </w:rPr>
        <w:t>报价函</w:t>
      </w:r>
    </w:p>
    <w:p/>
    <w:p>
      <w:pPr>
        <w:spacing w:line="360" w:lineRule="auto"/>
        <w:rPr>
          <w:rFonts w:ascii="宋体" w:hAnsi="宋体" w:cs="宋体"/>
          <w:sz w:val="28"/>
          <w:szCs w:val="28"/>
        </w:rPr>
      </w:pPr>
      <w:r>
        <w:rPr>
          <w:rFonts w:hint="eastAsia" w:ascii="宋体" w:hAnsi="宋体" w:cs="宋体"/>
          <w:sz w:val="28"/>
          <w:szCs w:val="28"/>
          <w:u w:val="single"/>
        </w:rPr>
        <w:t xml:space="preserve">        （采购单位名称）</w:t>
      </w:r>
      <w:r>
        <w:rPr>
          <w:rFonts w:hint="eastAsia" w:ascii="宋体" w:hAnsi="宋体" w:cs="宋体"/>
          <w:sz w:val="28"/>
          <w:szCs w:val="28"/>
        </w:rPr>
        <w:t>：</w:t>
      </w:r>
    </w:p>
    <w:p>
      <w:pPr>
        <w:spacing w:line="360" w:lineRule="auto"/>
        <w:ind w:firstLine="560"/>
        <w:rPr>
          <w:rFonts w:ascii="宋体" w:hAnsi="宋体" w:cs="宋体"/>
          <w:sz w:val="28"/>
          <w:szCs w:val="28"/>
        </w:rPr>
      </w:pPr>
      <w:r>
        <w:rPr>
          <w:rFonts w:hint="eastAsia" w:ascii="宋体" w:hAnsi="宋体" w:cs="宋体"/>
          <w:sz w:val="28"/>
          <w:szCs w:val="28"/>
        </w:rPr>
        <w:t>我方参加贵部组织的</w:t>
      </w:r>
      <w:r>
        <w:rPr>
          <w:rFonts w:hint="eastAsia" w:ascii="宋体" w:hAnsi="宋体" w:cs="宋体"/>
          <w:sz w:val="28"/>
          <w:szCs w:val="28"/>
          <w:u w:val="single"/>
        </w:rPr>
        <w:t xml:space="preserve">       （项目编号、项目名称）</w:t>
      </w:r>
      <w:r>
        <w:rPr>
          <w:rFonts w:hint="eastAsia" w:ascii="宋体" w:hAnsi="宋体" w:cs="宋体"/>
          <w:sz w:val="28"/>
          <w:szCs w:val="28"/>
        </w:rPr>
        <w:t>招标采购活动，并对</w:t>
      </w:r>
      <w:r>
        <w:rPr>
          <w:rFonts w:hint="eastAsia" w:ascii="宋体" w:hAnsi="宋体" w:cs="宋体"/>
          <w:sz w:val="28"/>
          <w:szCs w:val="28"/>
          <w:u w:val="single"/>
        </w:rPr>
        <w:t xml:space="preserve">         （包号或货物名称）</w:t>
      </w:r>
      <w:r>
        <w:rPr>
          <w:rFonts w:hint="eastAsia" w:ascii="宋体" w:hAnsi="宋体" w:cs="宋体"/>
          <w:sz w:val="28"/>
          <w:szCs w:val="28"/>
        </w:rPr>
        <w:t>进行报价。</w:t>
      </w:r>
    </w:p>
    <w:p>
      <w:pPr>
        <w:spacing w:line="360" w:lineRule="auto"/>
        <w:ind w:firstLine="560"/>
        <w:rPr>
          <w:rFonts w:ascii="宋体" w:hAnsi="宋体" w:cs="宋体"/>
          <w:sz w:val="28"/>
          <w:szCs w:val="28"/>
        </w:rPr>
      </w:pPr>
      <w:r>
        <w:rPr>
          <w:rFonts w:hint="eastAsia" w:ascii="宋体" w:hAnsi="宋体" w:cs="宋体"/>
          <w:sz w:val="28"/>
          <w:szCs w:val="28"/>
        </w:rPr>
        <w:t>一、按照竞争性谈判文件规定递交</w:t>
      </w:r>
      <w:r>
        <w:rPr>
          <w:rFonts w:hint="eastAsia" w:ascii="宋体" w:hAnsi="宋体" w:cs="宋体"/>
          <w:sz w:val="28"/>
          <w:szCs w:val="28"/>
          <w:lang w:val="zh-CN"/>
        </w:rPr>
        <w:t>报价文件正本</w:t>
      </w:r>
      <w:r>
        <w:rPr>
          <w:rFonts w:hint="eastAsia" w:ascii="宋体" w:hAnsi="宋体" w:cs="宋体"/>
          <w:sz w:val="28"/>
          <w:szCs w:val="28"/>
          <w:u w:val="single"/>
          <w:lang w:val="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zh-CN"/>
        </w:rPr>
        <w:t xml:space="preserve">  </w:t>
      </w:r>
      <w:r>
        <w:rPr>
          <w:rFonts w:hint="eastAsia" w:ascii="宋体" w:hAnsi="宋体" w:cs="宋体"/>
          <w:sz w:val="28"/>
          <w:szCs w:val="28"/>
          <w:lang w:val="zh-CN"/>
        </w:rPr>
        <w:t>份和副本</w:t>
      </w:r>
      <w:r>
        <w:rPr>
          <w:rFonts w:hint="eastAsia" w:ascii="宋体" w:hAnsi="宋体" w:cs="宋体"/>
          <w:sz w:val="28"/>
          <w:szCs w:val="28"/>
          <w:u w:val="single"/>
          <w:lang w:val="zh-CN"/>
        </w:rPr>
        <w:t xml:space="preserve">  </w:t>
      </w:r>
      <w:r>
        <w:rPr>
          <w:rFonts w:hint="eastAsia" w:ascii="宋体" w:hAnsi="宋体" w:cs="宋体"/>
          <w:sz w:val="28"/>
          <w:szCs w:val="28"/>
          <w:u w:val="single"/>
        </w:rPr>
        <w:t xml:space="preserve"> </w:t>
      </w:r>
      <w:r>
        <w:rPr>
          <w:rFonts w:hint="eastAsia" w:ascii="宋体" w:hAnsi="宋体" w:cs="宋体"/>
          <w:sz w:val="28"/>
          <w:szCs w:val="28"/>
          <w:u w:val="single"/>
          <w:lang w:val="zh-CN"/>
        </w:rPr>
        <w:t xml:space="preserve"> </w:t>
      </w:r>
      <w:r>
        <w:rPr>
          <w:rFonts w:hint="eastAsia" w:ascii="宋体" w:hAnsi="宋体" w:cs="宋体"/>
          <w:sz w:val="28"/>
          <w:szCs w:val="28"/>
          <w:lang w:val="zh-CN"/>
        </w:rPr>
        <w:t>份</w:t>
      </w:r>
      <w:r>
        <w:rPr>
          <w:rFonts w:hint="eastAsia" w:ascii="宋体" w:hAnsi="宋体" w:cs="宋体"/>
          <w:sz w:val="28"/>
          <w:szCs w:val="28"/>
        </w:rPr>
        <w:t>。</w:t>
      </w:r>
    </w:p>
    <w:p>
      <w:pPr>
        <w:spacing w:line="360" w:lineRule="auto"/>
        <w:ind w:firstLine="560"/>
        <w:rPr>
          <w:rFonts w:ascii="宋体" w:hAnsi="宋体" w:cs="宋体"/>
          <w:sz w:val="28"/>
          <w:szCs w:val="28"/>
        </w:rPr>
      </w:pPr>
      <w:r>
        <w:rPr>
          <w:rFonts w:hint="eastAsia" w:ascii="宋体" w:hAnsi="宋体" w:cs="宋体"/>
          <w:sz w:val="28"/>
          <w:szCs w:val="28"/>
        </w:rPr>
        <w:t>二、</w:t>
      </w:r>
      <w:r>
        <w:rPr>
          <w:rFonts w:hint="eastAsia" w:ascii="宋体" w:hAnsi="宋体" w:cs="宋体"/>
          <w:sz w:val="28"/>
          <w:szCs w:val="28"/>
          <w:lang w:val="zh-CN"/>
        </w:rPr>
        <w:t>我方已完全理解询价文件的全部内容，自愿接受并执行</w:t>
      </w:r>
      <w:r>
        <w:rPr>
          <w:rFonts w:hint="eastAsia" w:ascii="宋体" w:hAnsi="宋体" w:cs="宋体"/>
          <w:sz w:val="28"/>
          <w:szCs w:val="28"/>
        </w:rPr>
        <w:t>竞争性谈判</w:t>
      </w:r>
      <w:r>
        <w:rPr>
          <w:rFonts w:hint="eastAsia" w:ascii="宋体" w:hAnsi="宋体" w:cs="宋体"/>
          <w:sz w:val="28"/>
          <w:szCs w:val="28"/>
          <w:lang w:val="zh-CN"/>
        </w:rPr>
        <w:t>文件的全部条款</w:t>
      </w:r>
      <w:r>
        <w:rPr>
          <w:rFonts w:hint="eastAsia" w:ascii="宋体" w:hAnsi="宋体" w:cs="宋体"/>
          <w:sz w:val="28"/>
          <w:szCs w:val="28"/>
        </w:rPr>
        <w:t>。</w:t>
      </w:r>
    </w:p>
    <w:p>
      <w:pPr>
        <w:spacing w:line="360" w:lineRule="auto"/>
        <w:ind w:firstLine="560"/>
        <w:rPr>
          <w:rFonts w:ascii="宋体" w:hAnsi="宋体" w:cs="宋体"/>
          <w:sz w:val="28"/>
          <w:szCs w:val="28"/>
        </w:rPr>
      </w:pPr>
      <w:r>
        <w:rPr>
          <w:rFonts w:hint="eastAsia" w:ascii="宋体" w:hAnsi="宋体" w:cs="宋体"/>
          <w:sz w:val="28"/>
          <w:szCs w:val="28"/>
        </w:rPr>
        <w:t>三、本报价文件</w:t>
      </w:r>
      <w:r>
        <w:rPr>
          <w:rFonts w:hint="eastAsia" w:ascii="宋体" w:hAnsi="宋体" w:cs="宋体"/>
          <w:sz w:val="28"/>
          <w:szCs w:val="28"/>
          <w:lang w:val="zh-CN"/>
        </w:rPr>
        <w:t>有效期自开标之日起</w:t>
      </w:r>
      <w:r>
        <w:rPr>
          <w:rFonts w:hint="eastAsia" w:ascii="宋体" w:hAnsi="宋体" w:cs="宋体"/>
          <w:sz w:val="28"/>
          <w:szCs w:val="28"/>
          <w:u w:val="single"/>
          <w:lang w:val="zh-CN"/>
        </w:rPr>
        <w:t xml:space="preserve">     </w:t>
      </w:r>
      <w:r>
        <w:rPr>
          <w:rFonts w:hint="eastAsia" w:ascii="宋体" w:hAnsi="宋体" w:cs="宋体"/>
          <w:sz w:val="28"/>
          <w:szCs w:val="28"/>
          <w:lang w:val="zh-CN"/>
        </w:rPr>
        <w:t>日内有效</w:t>
      </w:r>
      <w:r>
        <w:rPr>
          <w:rFonts w:hint="eastAsia" w:ascii="宋体" w:hAnsi="宋体" w:cs="宋体"/>
          <w:sz w:val="28"/>
          <w:szCs w:val="28"/>
        </w:rPr>
        <w:t>。</w:t>
      </w:r>
    </w:p>
    <w:p>
      <w:pPr>
        <w:spacing w:line="360" w:lineRule="auto"/>
        <w:ind w:firstLine="560"/>
        <w:rPr>
          <w:rFonts w:ascii="宋体" w:hAnsi="宋体" w:cs="宋体"/>
          <w:sz w:val="28"/>
          <w:szCs w:val="28"/>
        </w:rPr>
      </w:pPr>
      <w:r>
        <w:rPr>
          <w:rFonts w:hint="eastAsia" w:ascii="宋体" w:hAnsi="宋体" w:cs="宋体"/>
          <w:sz w:val="28"/>
          <w:szCs w:val="28"/>
        </w:rPr>
        <w:t>四、</w:t>
      </w:r>
      <w:r>
        <w:rPr>
          <w:rFonts w:hint="eastAsia" w:ascii="宋体" w:hAnsi="宋体" w:cs="宋体"/>
          <w:sz w:val="28"/>
          <w:szCs w:val="28"/>
          <w:lang w:val="zh-CN"/>
        </w:rPr>
        <w:t>我方在参与报价前已仔细研究了</w:t>
      </w:r>
      <w:r>
        <w:rPr>
          <w:rFonts w:hint="eastAsia" w:ascii="宋体" w:hAnsi="宋体" w:cs="宋体"/>
          <w:sz w:val="28"/>
          <w:szCs w:val="28"/>
        </w:rPr>
        <w:t>竞争性谈判</w:t>
      </w:r>
      <w:r>
        <w:rPr>
          <w:rFonts w:hint="eastAsia" w:ascii="宋体" w:hAnsi="宋体" w:cs="宋体"/>
          <w:sz w:val="28"/>
          <w:szCs w:val="28"/>
          <w:lang w:val="zh-CN"/>
        </w:rPr>
        <w:t>文件和所有相关资料，同意</w:t>
      </w:r>
      <w:r>
        <w:rPr>
          <w:rFonts w:hint="eastAsia" w:ascii="宋体" w:hAnsi="宋体" w:cs="宋体"/>
          <w:sz w:val="28"/>
          <w:szCs w:val="28"/>
        </w:rPr>
        <w:t>竞争性谈判</w:t>
      </w:r>
      <w:r>
        <w:rPr>
          <w:rFonts w:hint="eastAsia" w:ascii="宋体" w:hAnsi="宋体" w:cs="宋体"/>
          <w:sz w:val="28"/>
          <w:szCs w:val="28"/>
          <w:lang w:val="zh-CN"/>
        </w:rPr>
        <w:t>文件的相关条款。</w:t>
      </w:r>
    </w:p>
    <w:p>
      <w:pPr>
        <w:spacing w:line="360" w:lineRule="auto"/>
        <w:ind w:firstLine="560"/>
        <w:rPr>
          <w:rFonts w:ascii="宋体" w:hAnsi="宋体" w:cs="宋体"/>
          <w:sz w:val="28"/>
          <w:szCs w:val="28"/>
        </w:rPr>
      </w:pPr>
      <w:r>
        <w:rPr>
          <w:rFonts w:hint="eastAsia" w:ascii="宋体" w:hAnsi="宋体" w:cs="宋体"/>
          <w:sz w:val="28"/>
          <w:szCs w:val="28"/>
        </w:rPr>
        <w:t>五、我方声明报价文件及所提供的一切资料和承诺均真实有效。由于我方提供资料不实而造成的责任和后果由我方承担。我方同意按照贵部要求，提供与招标有关数据或信息。我方承诺完全按照报价书有关内容履约。</w:t>
      </w:r>
    </w:p>
    <w:p>
      <w:pPr>
        <w:spacing w:line="360" w:lineRule="auto"/>
        <w:ind w:firstLine="560"/>
        <w:rPr>
          <w:rFonts w:ascii="宋体" w:hAnsi="宋体" w:cs="宋体"/>
          <w:sz w:val="28"/>
          <w:szCs w:val="28"/>
        </w:rPr>
      </w:pPr>
      <w:r>
        <w:rPr>
          <w:rFonts w:hint="eastAsia" w:ascii="宋体" w:hAnsi="宋体" w:cs="宋体"/>
          <w:sz w:val="28"/>
          <w:szCs w:val="28"/>
        </w:rPr>
        <w:t>六、我方承诺自愿遵守、执行军队采购管理法规制度及政策规定。</w:t>
      </w:r>
    </w:p>
    <w:p>
      <w:pPr>
        <w:spacing w:line="360" w:lineRule="auto"/>
        <w:ind w:firstLine="560"/>
        <w:rPr>
          <w:rFonts w:ascii="宋体" w:hAnsi="宋体" w:cs="宋体"/>
          <w:sz w:val="28"/>
          <w:szCs w:val="28"/>
        </w:rPr>
      </w:pPr>
      <w:r>
        <w:rPr>
          <w:rFonts w:hint="eastAsia" w:ascii="宋体" w:hAnsi="宋体" w:cs="宋体"/>
          <w:sz w:val="28"/>
          <w:szCs w:val="28"/>
        </w:rPr>
        <w:t>七、联系方式</w:t>
      </w:r>
    </w:p>
    <w:p>
      <w:pPr>
        <w:spacing w:line="360" w:lineRule="auto"/>
        <w:ind w:firstLine="560"/>
        <w:rPr>
          <w:rFonts w:ascii="宋体" w:hAnsi="宋体" w:cs="宋体"/>
          <w:sz w:val="28"/>
          <w:szCs w:val="28"/>
          <w:u w:val="single"/>
        </w:rPr>
      </w:pPr>
      <w:r>
        <w:rPr>
          <w:rFonts w:hint="eastAsia" w:ascii="宋体" w:hAnsi="宋体" w:cs="宋体"/>
          <w:sz w:val="28"/>
          <w:szCs w:val="28"/>
        </w:rPr>
        <w:t>联系人：</w:t>
      </w:r>
      <w:r>
        <w:rPr>
          <w:rFonts w:hint="eastAsia" w:ascii="宋体" w:hAnsi="宋体" w:cs="宋体"/>
          <w:sz w:val="28"/>
          <w:szCs w:val="28"/>
          <w:u w:val="single"/>
        </w:rPr>
        <w:t xml:space="preserve">          </w:t>
      </w: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rPr>
        <w:t>传真：</w:t>
      </w:r>
      <w:r>
        <w:rPr>
          <w:rFonts w:hint="eastAsia" w:ascii="宋体" w:hAnsi="宋体" w:cs="宋体"/>
          <w:sz w:val="28"/>
          <w:szCs w:val="28"/>
          <w:u w:val="single"/>
        </w:rPr>
        <w:t xml:space="preserve">           </w:t>
      </w:r>
    </w:p>
    <w:p>
      <w:pPr>
        <w:spacing w:line="360" w:lineRule="auto"/>
        <w:ind w:firstLine="560"/>
        <w:rPr>
          <w:rFonts w:ascii="宋体" w:hAnsi="宋体" w:cs="宋体"/>
          <w:sz w:val="28"/>
          <w:szCs w:val="28"/>
        </w:rPr>
      </w:pPr>
      <w:r>
        <w:rPr>
          <w:rFonts w:hint="eastAsia" w:ascii="宋体" w:hAnsi="宋体" w:cs="宋体"/>
          <w:sz w:val="28"/>
          <w:szCs w:val="28"/>
        </w:rPr>
        <w:t>地址：</w:t>
      </w:r>
      <w:r>
        <w:rPr>
          <w:rFonts w:hint="eastAsia" w:ascii="宋体" w:hAnsi="宋体" w:cs="宋体"/>
          <w:sz w:val="28"/>
          <w:szCs w:val="28"/>
          <w:u w:val="single"/>
        </w:rPr>
        <w:t xml:space="preserve">                           </w:t>
      </w:r>
      <w:r>
        <w:rPr>
          <w:rFonts w:hint="eastAsia" w:ascii="宋体" w:hAnsi="宋体" w:cs="宋体"/>
          <w:sz w:val="28"/>
          <w:szCs w:val="28"/>
        </w:rPr>
        <w:t>邮政编码：</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ind w:firstLine="560"/>
        <w:rPr>
          <w:rFonts w:ascii="宋体" w:hAnsi="宋体" w:cs="宋体"/>
          <w:sz w:val="28"/>
          <w:szCs w:val="28"/>
          <w:u w:val="single"/>
        </w:rPr>
      </w:pPr>
      <w:r>
        <w:rPr>
          <w:rFonts w:hint="eastAsia" w:ascii="宋体" w:hAnsi="宋体" w:cs="宋体"/>
          <w:sz w:val="28"/>
          <w:szCs w:val="28"/>
        </w:rPr>
        <w:t>开户名称：</w:t>
      </w:r>
      <w:r>
        <w:rPr>
          <w:rFonts w:hint="eastAsia" w:ascii="宋体" w:hAnsi="宋体" w:cs="宋体"/>
          <w:sz w:val="28"/>
          <w:szCs w:val="28"/>
          <w:u w:val="single"/>
        </w:rPr>
        <w:t xml:space="preserve">                       </w:t>
      </w:r>
    </w:p>
    <w:p>
      <w:pPr>
        <w:spacing w:line="360" w:lineRule="auto"/>
        <w:ind w:firstLine="560"/>
        <w:rPr>
          <w:rFonts w:ascii="宋体" w:hAnsi="宋体" w:cs="宋体"/>
          <w:sz w:val="28"/>
          <w:szCs w:val="28"/>
        </w:rPr>
      </w:pPr>
      <w:r>
        <w:rPr>
          <w:rFonts w:hint="eastAsia" w:ascii="宋体" w:hAnsi="宋体" w:cs="宋体"/>
          <w:sz w:val="28"/>
          <w:szCs w:val="28"/>
        </w:rPr>
        <w:t>开户银行：</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ind w:firstLine="560"/>
        <w:rPr>
          <w:rFonts w:ascii="宋体" w:hAnsi="宋体" w:cs="宋体"/>
          <w:sz w:val="28"/>
          <w:szCs w:val="28"/>
        </w:rPr>
      </w:pPr>
      <w:r>
        <w:rPr>
          <w:rFonts w:hint="eastAsia" w:ascii="宋体" w:hAnsi="宋体" w:cs="宋体"/>
          <w:sz w:val="28"/>
          <w:szCs w:val="28"/>
        </w:rPr>
        <w:t>银行账号：</w:t>
      </w:r>
      <w:r>
        <w:rPr>
          <w:rFonts w:hint="eastAsia" w:ascii="宋体" w:hAnsi="宋体" w:cs="宋体"/>
          <w:sz w:val="28"/>
          <w:szCs w:val="28"/>
          <w:u w:val="single"/>
        </w:rPr>
        <w:t xml:space="preserve">                       </w:t>
      </w:r>
      <w:r>
        <w:rPr>
          <w:rFonts w:hint="eastAsia" w:ascii="宋体" w:hAnsi="宋体" w:cs="宋体"/>
          <w:sz w:val="28"/>
          <w:szCs w:val="28"/>
        </w:rPr>
        <w:t xml:space="preserve">                 </w:t>
      </w:r>
    </w:p>
    <w:p>
      <w:pPr>
        <w:spacing w:line="360" w:lineRule="auto"/>
        <w:ind w:firstLine="560"/>
        <w:rPr>
          <w:rFonts w:ascii="宋体" w:hAnsi="宋体" w:cs="宋体"/>
          <w:sz w:val="28"/>
          <w:szCs w:val="28"/>
        </w:rPr>
      </w:pPr>
    </w:p>
    <w:p>
      <w:pPr>
        <w:spacing w:line="360" w:lineRule="auto"/>
        <w:ind w:firstLine="2240" w:firstLineChars="800"/>
        <w:rPr>
          <w:rFonts w:ascii="宋体" w:hAnsi="宋体" w:cs="宋体"/>
          <w:sz w:val="28"/>
          <w:szCs w:val="28"/>
          <w:lang w:val="zh-CN"/>
        </w:rPr>
      </w:pPr>
      <w:r>
        <w:rPr>
          <w:rFonts w:hint="eastAsia" w:ascii="宋体" w:hAnsi="宋体" w:cs="宋体"/>
          <w:sz w:val="28"/>
          <w:szCs w:val="28"/>
          <w:lang w:val="zh-CN"/>
        </w:rPr>
        <w:t>报价方全称：</w:t>
      </w:r>
      <w:r>
        <w:rPr>
          <w:rFonts w:hint="eastAsia" w:ascii="宋体" w:hAnsi="宋体" w:cs="宋体"/>
          <w:sz w:val="28"/>
          <w:szCs w:val="28"/>
          <w:u w:val="single"/>
        </w:rPr>
        <w:t xml:space="preserve">                   </w:t>
      </w:r>
      <w:r>
        <w:rPr>
          <w:rFonts w:hint="eastAsia" w:ascii="宋体" w:hAnsi="宋体" w:cs="宋体"/>
          <w:sz w:val="28"/>
          <w:szCs w:val="28"/>
          <w:lang w:val="zh-CN"/>
        </w:rPr>
        <w:t>（盖章）</w:t>
      </w:r>
    </w:p>
    <w:p>
      <w:pPr>
        <w:spacing w:line="360" w:lineRule="auto"/>
        <w:ind w:firstLine="2240" w:firstLineChars="800"/>
        <w:jc w:val="left"/>
        <w:rPr>
          <w:rFonts w:ascii="宋体" w:hAnsi="宋体" w:cs="宋体"/>
          <w:sz w:val="28"/>
          <w:szCs w:val="28"/>
          <w:lang w:val="zh-CN"/>
        </w:rPr>
      </w:pPr>
      <w:r>
        <w:rPr>
          <w:rFonts w:hint="eastAsia" w:ascii="宋体" w:hAnsi="宋体" w:cs="宋体"/>
          <w:sz w:val="28"/>
          <w:szCs w:val="28"/>
          <w:lang w:val="zh-CN"/>
        </w:rPr>
        <w:t>法定代表人（或授权代表）：</w:t>
      </w:r>
      <w:r>
        <w:rPr>
          <w:rFonts w:hint="eastAsia" w:ascii="宋体" w:hAnsi="宋体" w:cs="宋体"/>
          <w:sz w:val="28"/>
          <w:szCs w:val="28"/>
          <w:u w:val="single"/>
        </w:rPr>
        <w:t xml:space="preserve">          </w:t>
      </w:r>
      <w:r>
        <w:rPr>
          <w:rFonts w:hint="eastAsia" w:ascii="宋体" w:hAnsi="宋体" w:cs="宋体"/>
          <w:sz w:val="28"/>
          <w:szCs w:val="28"/>
          <w:lang w:val="zh-CN"/>
        </w:rPr>
        <w:t xml:space="preserve">（签字） </w:t>
      </w:r>
    </w:p>
    <w:p>
      <w:pPr>
        <w:spacing w:line="360" w:lineRule="auto"/>
        <w:ind w:firstLine="2240" w:firstLineChars="800"/>
        <w:jc w:val="center"/>
        <w:rPr>
          <w:rFonts w:ascii="宋体" w:hAnsi="宋体" w:cs="宋体"/>
          <w:sz w:val="28"/>
          <w:szCs w:val="28"/>
          <w:u w:val="single"/>
        </w:rPr>
      </w:pPr>
    </w:p>
    <w:p>
      <w:pPr>
        <w:spacing w:line="360" w:lineRule="auto"/>
        <w:ind w:firstLine="2240" w:firstLineChars="800"/>
        <w:jc w:val="center"/>
        <w:rPr>
          <w:rFonts w:ascii="宋体" w:hAnsi="宋体" w:cs="宋体"/>
          <w:sz w:val="28"/>
          <w:szCs w:val="28"/>
        </w:rPr>
        <w:sectPr>
          <w:pgSz w:w="11906" w:h="16838"/>
          <w:pgMar w:top="1134" w:right="1418" w:bottom="1418" w:left="1418" w:header="851" w:footer="851" w:gutter="0"/>
          <w:cols w:space="720" w:num="1"/>
        </w:sect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pStyle w:val="2"/>
      </w:pPr>
    </w:p>
    <w:p>
      <w:pPr>
        <w:pStyle w:val="6"/>
        <w:spacing w:before="120" w:beforeLines="50" w:after="120" w:afterLines="50" w:line="560" w:lineRule="exact"/>
        <w:rPr>
          <w:rFonts w:hint="default"/>
          <w:b w:val="0"/>
        </w:rPr>
      </w:pPr>
      <w:r>
        <w:rPr>
          <w:b w:val="0"/>
        </w:rPr>
        <w:t>附件1-1 报价一览表</w:t>
      </w:r>
      <w:bookmarkEnd w:id="383"/>
      <w:bookmarkEnd w:id="384"/>
      <w:bookmarkEnd w:id="385"/>
      <w:bookmarkEnd w:id="386"/>
      <w:bookmarkEnd w:id="387"/>
      <w:bookmarkEnd w:id="38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3"/>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335"/>
        <w:gridCol w:w="1276"/>
        <w:gridCol w:w="1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3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103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33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030"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ind w:firstLine="560" w:firstLineChars="200"/>
        <w:rPr>
          <w:bCs/>
          <w:sz w:val="28"/>
          <w:szCs w:val="28"/>
        </w:rPr>
      </w:pPr>
    </w:p>
    <w:p>
      <w:pPr>
        <w:spacing w:before="120" w:beforeLines="50" w:after="120" w:afterLines="50"/>
        <w:ind w:firstLine="640" w:firstLineChars="200"/>
        <w:jc w:val="center"/>
        <w:rPr>
          <w:bCs/>
          <w:sz w:val="28"/>
          <w:szCs w:val="28"/>
        </w:rPr>
        <w:sectPr>
          <w:pgSz w:w="16838" w:h="11906" w:orient="landscape"/>
          <w:pgMar w:top="1418" w:right="1134" w:bottom="1418" w:left="1418" w:header="851" w:footer="851" w:gutter="0"/>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ind w:firstLine="170" w:firstLineChars="71"/>
        <w:rPr>
          <w:rFonts w:hint="default"/>
          <w:b w:val="0"/>
        </w:rPr>
      </w:pPr>
      <w:bookmarkStart w:id="389" w:name="_Toc14107"/>
      <w:bookmarkStart w:id="390" w:name="_Toc16147"/>
      <w:bookmarkStart w:id="391" w:name="_Toc24431"/>
      <w:bookmarkStart w:id="392" w:name="_Toc32592"/>
      <w:bookmarkStart w:id="393" w:name="_Toc11700"/>
      <w:bookmarkStart w:id="394" w:name="_Toc32421"/>
      <w:bookmarkStart w:id="395" w:name="_Toc437"/>
      <w:bookmarkStart w:id="396" w:name="_Toc5803"/>
      <w:bookmarkStart w:id="397" w:name="_Toc112768459"/>
      <w:r>
        <w:rPr>
          <w:b w:val="0"/>
        </w:rPr>
        <w:t>附件1-2 报价承诺书</w:t>
      </w:r>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报价承诺书</w:t>
      </w:r>
    </w:p>
    <w:p>
      <w:pPr>
        <w:adjustRightInd w:val="0"/>
        <w:snapToGrid w:val="0"/>
        <w:spacing w:line="360" w:lineRule="auto"/>
        <w:rPr>
          <w:rFonts w:ascii="宋体" w:hAnsi="宋体" w:cs="宋体"/>
          <w:sz w:val="22"/>
          <w:szCs w:val="22"/>
        </w:rPr>
      </w:pPr>
      <w:r>
        <w:rPr>
          <w:rFonts w:hint="eastAsia" w:ascii="宋体" w:hAnsi="宋体"/>
          <w:kern w:val="0"/>
          <w:sz w:val="28"/>
          <w:szCs w:val="28"/>
          <w:u w:val="single"/>
        </w:rPr>
        <w:t xml:space="preserve"> </w:t>
      </w:r>
      <w:r>
        <w:rPr>
          <w:rFonts w:ascii="宋体" w:hAnsi="宋体"/>
          <w:kern w:val="0"/>
          <w:sz w:val="28"/>
          <w:szCs w:val="28"/>
          <w:u w:val="single"/>
        </w:rPr>
        <w:t>（采购机构名称）</w:t>
      </w:r>
      <w:r>
        <w:rPr>
          <w:rFonts w:hint="eastAsia" w:ascii="宋体" w:hAnsi="宋体" w:cs="宋体"/>
          <w:sz w:val="22"/>
          <w:szCs w:val="22"/>
        </w:rPr>
        <w:t>：</w:t>
      </w:r>
    </w:p>
    <w:p>
      <w:pPr>
        <w:widowControl/>
        <w:spacing w:line="360" w:lineRule="auto"/>
        <w:ind w:firstLine="560" w:firstLineChars="200"/>
        <w:rPr>
          <w:rFonts w:ascii="宋体" w:hAnsi="宋体"/>
          <w:sz w:val="28"/>
          <w:szCs w:val="28"/>
        </w:rPr>
      </w:pPr>
      <w:r>
        <w:rPr>
          <w:rFonts w:hint="eastAsia" w:ascii="宋体" w:hAnsi="宋体"/>
          <w:sz w:val="28"/>
          <w:szCs w:val="28"/>
        </w:rPr>
        <w:t>本单位郑重承诺，在本项目的采购过程中，本单位提供的供应商报价为市场公允价格，不存在任何价格虚高、显失公允或欺诈等不诚信情况。若后续贵单位发现本单位存在上述价格虚高或偏离市场价格、欺诈等不诚信行为的，本单位自愿根据市场公允价格进行降价处理或承担由此带来的一切后果。</w:t>
      </w:r>
    </w:p>
    <w:p>
      <w:pPr>
        <w:adjustRightInd w:val="0"/>
        <w:snapToGrid w:val="0"/>
        <w:spacing w:line="360" w:lineRule="auto"/>
        <w:ind w:firstLine="4188" w:firstLineChars="1904"/>
        <w:rPr>
          <w:rFonts w:ascii="宋体" w:hAnsi="宋体" w:cs="宋体"/>
          <w:sz w:val="22"/>
          <w:szCs w:val="22"/>
        </w:rPr>
      </w:pPr>
    </w:p>
    <w:p>
      <w:pPr>
        <w:pStyle w:val="7"/>
        <w:rPr>
          <w:rFonts w:ascii="宋体" w:hAnsi="宋体" w:cs="宋体"/>
          <w:sz w:val="22"/>
          <w:szCs w:val="22"/>
        </w:rPr>
      </w:pPr>
    </w:p>
    <w:p>
      <w:pPr>
        <w:rPr>
          <w:rFonts w:ascii="宋体" w:hAnsi="宋体" w:cs="宋体"/>
          <w:sz w:val="22"/>
          <w:szCs w:val="22"/>
        </w:rPr>
      </w:pPr>
    </w:p>
    <w:p>
      <w:pPr>
        <w:pStyle w:val="7"/>
        <w:rPr>
          <w:rFonts w:ascii="宋体" w:hAnsi="宋体" w:cs="宋体"/>
          <w:sz w:val="22"/>
          <w:szCs w:val="22"/>
        </w:rPr>
      </w:pPr>
    </w:p>
    <w:p>
      <w:pPr>
        <w:rPr>
          <w:rFonts w:ascii="宋体" w:hAnsi="宋体" w:cs="宋体"/>
          <w:sz w:val="22"/>
          <w:szCs w:val="22"/>
        </w:rPr>
      </w:pPr>
    </w:p>
    <w:p>
      <w:pPr>
        <w:pStyle w:val="7"/>
        <w:rPr>
          <w:rFonts w:ascii="宋体" w:hAnsi="宋体" w:cs="宋体"/>
          <w:sz w:val="22"/>
          <w:szCs w:val="22"/>
        </w:rPr>
      </w:pPr>
    </w:p>
    <w:p/>
    <w:p>
      <w:pPr>
        <w:adjustRightInd w:val="0"/>
        <w:snapToGrid w:val="0"/>
        <w:spacing w:line="360" w:lineRule="auto"/>
        <w:ind w:firstLine="2240" w:firstLineChars="800"/>
        <w:rPr>
          <w:rFonts w:ascii="宋体" w:hAnsi="宋体" w:cs="宋体"/>
          <w:sz w:val="22"/>
          <w:szCs w:val="22"/>
          <w:u w:val="single"/>
        </w:rPr>
      </w:pPr>
      <w:r>
        <w:rPr>
          <w:rFonts w:hint="eastAsia" w:ascii="宋体" w:hAnsi="宋体"/>
          <w:sz w:val="28"/>
          <w:szCs w:val="28"/>
        </w:rPr>
        <w:t>报价</w:t>
      </w:r>
      <w:r>
        <w:rPr>
          <w:rFonts w:ascii="宋体" w:hAnsi="宋体"/>
          <w:sz w:val="28"/>
          <w:szCs w:val="28"/>
        </w:rPr>
        <w:t>供应商全称：（盖章）</w:t>
      </w:r>
      <w:r>
        <w:rPr>
          <w:rFonts w:hint="eastAsia" w:ascii="宋体" w:hAnsi="宋体" w:cs="宋体"/>
          <w:sz w:val="22"/>
          <w:szCs w:val="22"/>
          <w:u w:val="single"/>
        </w:rPr>
        <w:t xml:space="preserve">                                </w:t>
      </w:r>
    </w:p>
    <w:p>
      <w:pPr>
        <w:pStyle w:val="7"/>
      </w:pPr>
    </w:p>
    <w:p>
      <w:pPr>
        <w:adjustRightInd w:val="0"/>
        <w:snapToGrid w:val="0"/>
        <w:spacing w:line="360" w:lineRule="auto"/>
        <w:ind w:firstLine="2240" w:firstLineChars="800"/>
        <w:rPr>
          <w:rFonts w:ascii="宋体" w:hAnsi="宋体" w:cs="宋体"/>
          <w:sz w:val="22"/>
          <w:szCs w:val="22"/>
          <w:u w:val="single"/>
        </w:rPr>
      </w:pPr>
      <w:r>
        <w:rPr>
          <w:rFonts w:ascii="宋体" w:hAnsi="宋体"/>
          <w:sz w:val="28"/>
          <w:szCs w:val="28"/>
        </w:rPr>
        <w:t>法定代表人（或授权代表）：（签字</w:t>
      </w:r>
      <w:r>
        <w:rPr>
          <w:rFonts w:hint="eastAsia" w:ascii="宋体" w:hAnsi="宋体"/>
          <w:sz w:val="28"/>
          <w:szCs w:val="28"/>
        </w:rPr>
        <w:t>或盖章</w:t>
      </w:r>
      <w:r>
        <w:rPr>
          <w:rFonts w:ascii="宋体" w:hAnsi="宋体"/>
          <w:sz w:val="28"/>
          <w:szCs w:val="28"/>
        </w:rPr>
        <w:t>）</w:t>
      </w:r>
      <w:r>
        <w:rPr>
          <w:rFonts w:hint="eastAsia" w:ascii="宋体" w:hAnsi="宋体" w:cs="宋体"/>
          <w:sz w:val="22"/>
          <w:szCs w:val="22"/>
          <w:u w:val="single"/>
        </w:rPr>
        <w:t xml:space="preserve">           </w:t>
      </w:r>
    </w:p>
    <w:p>
      <w:pPr>
        <w:pStyle w:val="7"/>
      </w:pPr>
    </w:p>
    <w:p>
      <w:pPr>
        <w:adjustRightInd w:val="0"/>
        <w:snapToGrid w:val="0"/>
        <w:spacing w:line="360" w:lineRule="auto"/>
        <w:ind w:firstLine="5880" w:firstLineChars="2100"/>
        <w:rPr>
          <w:rFonts w:ascii="宋体" w:hAnsi="宋体" w:cs="宋体"/>
          <w:sz w:val="22"/>
          <w:szCs w:val="22"/>
        </w:rPr>
      </w:pPr>
      <w:r>
        <w:rPr>
          <w:rFonts w:hint="eastAsia" w:ascii="宋体" w:hAnsi="宋体"/>
          <w:sz w:val="28"/>
          <w:szCs w:val="28"/>
          <w:u w:val="single"/>
        </w:rPr>
        <w:t xml:space="preserve">     </w:t>
      </w:r>
      <w:r>
        <w:rPr>
          <w:rFonts w:hint="eastAsia" w:ascii="宋体" w:hAnsi="宋体"/>
          <w:sz w:val="28"/>
          <w:szCs w:val="28"/>
        </w:rPr>
        <w:t xml:space="preserve"> 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pStyle w:val="6"/>
        <w:spacing w:before="120" w:beforeLines="50" w:after="120" w:afterLines="50" w:line="360" w:lineRule="auto"/>
        <w:rPr>
          <w:rFonts w:hint="default"/>
          <w:b w:val="0"/>
          <w:bCs w:val="0"/>
        </w:rPr>
      </w:pPr>
    </w:p>
    <w:p>
      <w:pPr>
        <w:pStyle w:val="6"/>
        <w:spacing w:before="120" w:beforeLines="50" w:after="120" w:afterLines="50" w:line="560" w:lineRule="exact"/>
        <w:rPr>
          <w:rFonts w:hint="default"/>
          <w:b w:val="0"/>
          <w:bCs w:val="0"/>
        </w:rPr>
      </w:pPr>
    </w:p>
    <w:p>
      <w:pPr>
        <w:pStyle w:val="6"/>
        <w:spacing w:before="120" w:beforeLines="50" w:after="120" w:afterLines="50" w:line="560" w:lineRule="exact"/>
        <w:rPr>
          <w:rFonts w:hint="default"/>
          <w:b w:val="0"/>
          <w:bCs w:val="0"/>
        </w:rPr>
      </w:pPr>
    </w:p>
    <w:p>
      <w:pPr>
        <w:pStyle w:val="6"/>
        <w:spacing w:before="120" w:beforeLines="50" w:after="120" w:afterLines="50" w:line="560" w:lineRule="exact"/>
        <w:rPr>
          <w:rFonts w:hint="default"/>
          <w:b w:val="0"/>
          <w:bCs w:val="0"/>
        </w:rPr>
      </w:pPr>
    </w:p>
    <w:p>
      <w:pPr>
        <w:pStyle w:val="6"/>
        <w:spacing w:before="120" w:beforeLines="50" w:after="120" w:afterLines="50" w:line="560" w:lineRule="exact"/>
        <w:rPr>
          <w:rFonts w:hint="default"/>
          <w:b w:val="0"/>
          <w:bCs w:val="0"/>
        </w:rPr>
      </w:pPr>
    </w:p>
    <w:p>
      <w:pPr>
        <w:pStyle w:val="6"/>
        <w:spacing w:before="120" w:beforeLines="50" w:after="120" w:afterLines="50" w:line="560" w:lineRule="exact"/>
        <w:rPr>
          <w:rFonts w:hint="default"/>
          <w:b w:val="0"/>
          <w:bCs w:val="0"/>
        </w:rPr>
      </w:pPr>
    </w:p>
    <w:p>
      <w:pPr>
        <w:pStyle w:val="6"/>
        <w:spacing w:before="120" w:beforeLines="50" w:after="120" w:afterLines="50" w:line="560" w:lineRule="exact"/>
        <w:rPr>
          <w:rFonts w:hint="default"/>
          <w:b w:val="0"/>
          <w:bCs w:val="0"/>
        </w:rPr>
      </w:pPr>
      <w:r>
        <w:rPr>
          <w:b w:val="0"/>
          <w:bCs w:val="0"/>
        </w:rPr>
        <w:t>附件1-3 其他与价格有关的</w:t>
      </w:r>
      <w:r>
        <w:rPr>
          <w:b w:val="0"/>
        </w:rPr>
        <w:t>材料</w:t>
      </w:r>
      <w:r>
        <w:rPr>
          <w:b w:val="0"/>
          <w:bCs w:val="0"/>
        </w:rPr>
        <w:t>、文件</w:t>
      </w:r>
      <w:bookmarkEnd w:id="389"/>
      <w:bookmarkEnd w:id="390"/>
      <w:bookmarkEnd w:id="391"/>
      <w:bookmarkEnd w:id="392"/>
      <w:bookmarkEnd w:id="393"/>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spacing w:line="360" w:lineRule="auto"/>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7"/>
        <w:rPr>
          <w:sz w:val="28"/>
          <w:szCs w:val="28"/>
          <w:lang w:val="zh-CN"/>
        </w:rPr>
      </w:pPr>
    </w:p>
    <w:p>
      <w:pPr>
        <w:rPr>
          <w:sz w:val="28"/>
          <w:szCs w:val="28"/>
          <w:lang w:val="zh-CN"/>
        </w:rPr>
      </w:pPr>
    </w:p>
    <w:p>
      <w:pPr>
        <w:pStyle w:val="7"/>
        <w:rPr>
          <w:sz w:val="28"/>
          <w:szCs w:val="28"/>
          <w:lang w:val="zh-CN"/>
        </w:rPr>
      </w:pPr>
    </w:p>
    <w:p>
      <w:pPr>
        <w:rPr>
          <w:sz w:val="28"/>
          <w:szCs w:val="28"/>
          <w:lang w:val="zh-CN"/>
        </w:rPr>
      </w:pPr>
    </w:p>
    <w:p>
      <w:pPr>
        <w:pStyle w:val="7"/>
        <w:rPr>
          <w:sz w:val="28"/>
          <w:szCs w:val="28"/>
          <w:lang w:val="zh-CN"/>
        </w:rPr>
      </w:pPr>
    </w:p>
    <w:p>
      <w:pPr>
        <w:rPr>
          <w:sz w:val="28"/>
          <w:szCs w:val="28"/>
          <w:lang w:val="zh-CN"/>
        </w:rPr>
      </w:pPr>
    </w:p>
    <w:p>
      <w:pPr>
        <w:pStyle w:val="7"/>
        <w:rPr>
          <w:sz w:val="28"/>
          <w:szCs w:val="28"/>
          <w:lang w:val="zh-CN"/>
        </w:rPr>
      </w:pPr>
    </w:p>
    <w:p>
      <w:pPr>
        <w:rPr>
          <w:sz w:val="28"/>
          <w:szCs w:val="28"/>
          <w:lang w:val="zh-CN"/>
        </w:rPr>
      </w:pPr>
    </w:p>
    <w:p>
      <w:pPr>
        <w:pStyle w:val="7"/>
        <w:rPr>
          <w:sz w:val="28"/>
          <w:szCs w:val="28"/>
          <w:lang w:val="zh-CN"/>
        </w:rPr>
      </w:pPr>
    </w:p>
    <w:p>
      <w:pPr>
        <w:rPr>
          <w:sz w:val="28"/>
          <w:szCs w:val="28"/>
          <w:lang w:val="zh-CN"/>
        </w:rPr>
      </w:pPr>
    </w:p>
    <w:p>
      <w:pPr>
        <w:pStyle w:val="7"/>
        <w:rPr>
          <w:sz w:val="28"/>
          <w:szCs w:val="28"/>
          <w:lang w:val="zh-CN"/>
        </w:rPr>
      </w:pPr>
    </w:p>
    <w:p>
      <w:pPr>
        <w:rPr>
          <w:sz w:val="28"/>
          <w:szCs w:val="28"/>
          <w:lang w:val="zh-CN"/>
        </w:rPr>
      </w:pPr>
    </w:p>
    <w:p>
      <w:pPr>
        <w:pStyle w:val="7"/>
        <w:rPr>
          <w:sz w:val="28"/>
          <w:szCs w:val="28"/>
          <w:lang w:val="zh-CN"/>
        </w:rPr>
      </w:pPr>
    </w:p>
    <w:p>
      <w:pPr>
        <w:rPr>
          <w:sz w:val="28"/>
          <w:szCs w:val="28"/>
          <w:lang w:val="zh-CN"/>
        </w:rPr>
      </w:pPr>
    </w:p>
    <w:p>
      <w:pPr>
        <w:pStyle w:val="7"/>
        <w:rPr>
          <w:sz w:val="28"/>
          <w:szCs w:val="28"/>
          <w:lang w:val="zh-CN"/>
        </w:rPr>
      </w:pPr>
    </w:p>
    <w:p>
      <w:pPr>
        <w:rPr>
          <w:sz w:val="28"/>
          <w:szCs w:val="28"/>
          <w:lang w:val="zh-CN"/>
        </w:rPr>
      </w:pPr>
    </w:p>
    <w:p>
      <w:pPr>
        <w:pStyle w:val="7"/>
        <w:rPr>
          <w:sz w:val="28"/>
          <w:szCs w:val="28"/>
          <w:lang w:val="zh-CN"/>
        </w:rPr>
      </w:pPr>
    </w:p>
    <w:p>
      <w:pPr>
        <w:rPr>
          <w:sz w:val="28"/>
          <w:szCs w:val="28"/>
          <w:lang w:val="zh-CN"/>
        </w:rPr>
      </w:pPr>
    </w:p>
    <w:p>
      <w:pPr>
        <w:pStyle w:val="7"/>
        <w:rPr>
          <w:lang w:val="zh-CN"/>
        </w:rPr>
      </w:pPr>
    </w:p>
    <w:p>
      <w:pPr>
        <w:spacing w:before="1200" w:beforeLines="500" w:after="960" w:afterLines="400" w:line="600" w:lineRule="auto"/>
        <w:jc w:val="center"/>
        <w:rPr>
          <w:sz w:val="28"/>
          <w:szCs w:val="28"/>
        </w:rPr>
      </w:pPr>
      <w:r>
        <w:rPr>
          <w:sz w:val="28"/>
          <w:szCs w:val="28"/>
        </w:rPr>
        <w:br w:type="page"/>
      </w:r>
      <w:bookmarkEnd w:id="394"/>
      <w:bookmarkEnd w:id="395"/>
      <w:bookmarkEnd w:id="396"/>
      <w:bookmarkEnd w:id="397"/>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398" w:name="_Toc150421235"/>
      <w:bookmarkStart w:id="399" w:name="_Toc152058278"/>
      <w:r>
        <w:rPr>
          <w:rFonts w:hint="eastAsia" w:ascii="方正小标宋简体" w:eastAsia="方正小标宋简体"/>
          <w:bCs/>
          <w:sz w:val="52"/>
          <w:szCs w:val="52"/>
        </w:rPr>
        <w:t>二、商务技术文件</w:t>
      </w:r>
      <w:bookmarkEnd w:id="398"/>
      <w:bookmarkEnd w:id="399"/>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before="240" w:beforeLines="100"/>
        <w:jc w:val="center"/>
        <w:rPr>
          <w:rFonts w:ascii="方正小标宋简体" w:eastAsia="方正小标宋简体"/>
          <w:bCs/>
          <w:sz w:val="36"/>
          <w:szCs w:val="36"/>
        </w:rPr>
      </w:pPr>
    </w:p>
    <w:p>
      <w:pPr>
        <w:pStyle w:val="6"/>
        <w:spacing w:before="120" w:beforeLines="50" w:after="120" w:afterLines="50" w:line="560" w:lineRule="exact"/>
        <w:rPr>
          <w:rFonts w:hint="default"/>
          <w:b w:val="0"/>
        </w:rPr>
      </w:pPr>
      <w:bookmarkStart w:id="400" w:name="_Toc112768462"/>
      <w:bookmarkStart w:id="401" w:name="_Toc19489"/>
      <w:bookmarkStart w:id="402" w:name="_Toc31275"/>
      <w:bookmarkStart w:id="403" w:name="_Toc13416"/>
      <w:bookmarkStart w:id="404" w:name="_Toc5425"/>
      <w:bookmarkStart w:id="405" w:name="_Toc32262"/>
    </w:p>
    <w:p>
      <w:pPr>
        <w:pStyle w:val="6"/>
        <w:spacing w:before="120" w:beforeLines="50" w:after="120" w:afterLines="50" w:line="560" w:lineRule="exact"/>
        <w:rPr>
          <w:rFonts w:hint="default"/>
          <w:b w:val="0"/>
        </w:rPr>
      </w:pPr>
    </w:p>
    <w:p>
      <w:pPr>
        <w:pStyle w:val="6"/>
        <w:spacing w:before="120" w:beforeLines="50" w:after="120" w:afterLines="50" w:line="560" w:lineRule="exact"/>
        <w:rPr>
          <w:rFonts w:hint="default"/>
          <w:b w:val="0"/>
          <w:lang w:val="zh-CN"/>
        </w:rPr>
      </w:pPr>
      <w:r>
        <w:rPr>
          <w:b w:val="0"/>
        </w:rPr>
        <w:t>附件2-1 符合性审查索引表</w:t>
      </w:r>
      <w:bookmarkEnd w:id="400"/>
      <w:bookmarkEnd w:id="401"/>
      <w:bookmarkEnd w:id="402"/>
      <w:bookmarkEnd w:id="403"/>
      <w:bookmarkEnd w:id="404"/>
      <w:bookmarkEnd w:id="405"/>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3"/>
        <w:tblW w:w="5000" w:type="pct"/>
        <w:jc w:val="center"/>
        <w:tblLayout w:type="autofit"/>
        <w:tblCellMar>
          <w:top w:w="0" w:type="dxa"/>
          <w:left w:w="108" w:type="dxa"/>
          <w:bottom w:w="0" w:type="dxa"/>
          <w:right w:w="108" w:type="dxa"/>
        </w:tblCellMar>
      </w:tblPr>
      <w:tblGrid>
        <w:gridCol w:w="959"/>
        <w:gridCol w:w="5386"/>
        <w:gridCol w:w="3225"/>
      </w:tblGrid>
      <w:tr>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281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符合性审查项目</w:t>
            </w:r>
          </w:p>
        </w:tc>
        <w:tc>
          <w:tcPr>
            <w:tcW w:w="1685"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11" w:hRule="atLeast"/>
          <w:jc w:val="center"/>
        </w:trPr>
        <w:tc>
          <w:tcPr>
            <w:tcW w:w="501"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281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685"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4</w:t>
            </w:r>
          </w:p>
        </w:tc>
        <w:tc>
          <w:tcPr>
            <w:tcW w:w="281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1685"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2814" w:type="pct"/>
            <w:tcBorders>
              <w:top w:val="single" w:color="auto" w:sz="4" w:space="0"/>
              <w:left w:val="nil"/>
              <w:bottom w:val="single" w:color="auto" w:sz="4" w:space="0"/>
              <w:right w:val="single" w:color="auto" w:sz="4" w:space="0"/>
            </w:tcBorders>
            <w:vAlign w:val="center"/>
          </w:tcPr>
          <w:p>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814" w:type="pct"/>
            <w:tcBorders>
              <w:top w:val="single" w:color="auto" w:sz="4" w:space="0"/>
              <w:left w:val="nil"/>
              <w:bottom w:val="single" w:color="auto" w:sz="4" w:space="0"/>
              <w:right w:val="single" w:color="auto" w:sz="4" w:space="0"/>
            </w:tcBorders>
            <w:vAlign w:val="center"/>
          </w:tcPr>
          <w:p>
            <w:pPr>
              <w:jc w:val="center"/>
              <w:rPr>
                <w:bCs/>
                <w:sz w:val="24"/>
              </w:rPr>
            </w:pPr>
          </w:p>
        </w:tc>
        <w:tc>
          <w:tcPr>
            <w:tcW w:w="1685"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281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68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96"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spacing w:line="276" w:lineRule="auto"/>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ind w:firstLine="560" w:firstLineChars="200"/>
        <w:jc w:val="left"/>
        <w:rPr>
          <w:rFonts w:eastAsia="黑体"/>
          <w:bCs/>
          <w:sz w:val="28"/>
          <w:szCs w:val="28"/>
        </w:rPr>
      </w:pPr>
      <w:r>
        <w:rPr>
          <w:rFonts w:eastAsia="黑体"/>
          <w:bCs/>
          <w:sz w:val="28"/>
          <w:szCs w:val="28"/>
        </w:rPr>
        <w:br w:type="page"/>
      </w:r>
    </w:p>
    <w:p>
      <w:pPr>
        <w:pStyle w:val="6"/>
        <w:spacing w:before="120" w:beforeLines="50" w:after="120" w:afterLines="50" w:line="560" w:lineRule="exact"/>
        <w:rPr>
          <w:rFonts w:hint="default"/>
          <w:b w:val="0"/>
          <w:lang w:val="zh-CN"/>
        </w:rPr>
      </w:pPr>
      <w:bookmarkStart w:id="406" w:name="_Toc10861"/>
      <w:bookmarkStart w:id="407" w:name="_Toc23681"/>
      <w:bookmarkStart w:id="408" w:name="_Toc19071"/>
      <w:bookmarkStart w:id="409" w:name="_Toc2075"/>
      <w:bookmarkStart w:id="410" w:name="_Toc112768463"/>
      <w:bookmarkStart w:id="411" w:name="_Toc27768"/>
      <w:r>
        <w:rPr>
          <w:b w:val="0"/>
        </w:rPr>
        <w:t>附件2-2 商务评审索引表</w:t>
      </w:r>
      <w:bookmarkEnd w:id="406"/>
      <w:bookmarkEnd w:id="407"/>
      <w:bookmarkEnd w:id="408"/>
      <w:bookmarkEnd w:id="409"/>
      <w:bookmarkEnd w:id="410"/>
      <w:bookmarkEnd w:id="41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商务评审索引表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3"/>
        <w:tblW w:w="5000" w:type="pct"/>
        <w:jc w:val="center"/>
        <w:tblLayout w:type="autofit"/>
        <w:tblCellMar>
          <w:top w:w="0" w:type="dxa"/>
          <w:left w:w="108" w:type="dxa"/>
          <w:bottom w:w="0" w:type="dxa"/>
          <w:right w:w="108" w:type="dxa"/>
        </w:tblCellMar>
      </w:tblPr>
      <w:tblGrid>
        <w:gridCol w:w="815"/>
        <w:gridCol w:w="1631"/>
        <w:gridCol w:w="1880"/>
        <w:gridCol w:w="1309"/>
        <w:gridCol w:w="1987"/>
        <w:gridCol w:w="1948"/>
      </w:tblGrid>
      <w:tr>
        <w:tblPrEx>
          <w:tblCellMar>
            <w:top w:w="0" w:type="dxa"/>
            <w:left w:w="108" w:type="dxa"/>
            <w:bottom w:w="0" w:type="dxa"/>
            <w:right w:w="108" w:type="dxa"/>
          </w:tblCellMar>
        </w:tblPrEx>
        <w:trPr>
          <w:trHeight w:val="680" w:hRule="atLeast"/>
          <w:jc w:val="center"/>
        </w:trPr>
        <w:tc>
          <w:tcPr>
            <w:tcW w:w="426"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2518" w:type="pct"/>
            <w:gridSpan w:val="3"/>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采购机构填写</w:t>
            </w:r>
          </w:p>
        </w:tc>
        <w:tc>
          <w:tcPr>
            <w:tcW w:w="2056" w:type="pct"/>
            <w:gridSpan w:val="2"/>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报价供应商填写</w:t>
            </w:r>
          </w:p>
        </w:tc>
      </w:tr>
      <w:tr>
        <w:tblPrEx>
          <w:tblCellMar>
            <w:top w:w="0" w:type="dxa"/>
            <w:left w:w="108" w:type="dxa"/>
            <w:bottom w:w="0" w:type="dxa"/>
            <w:right w:w="108" w:type="dxa"/>
          </w:tblCellMar>
        </w:tblPrEx>
        <w:trPr>
          <w:trHeight w:val="680" w:hRule="atLeast"/>
          <w:jc w:val="center"/>
        </w:trPr>
        <w:tc>
          <w:tcPr>
            <w:tcW w:w="426"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852"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评审项目</w:t>
            </w:r>
          </w:p>
        </w:tc>
        <w:tc>
          <w:tcPr>
            <w:tcW w:w="982"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计分模型</w:t>
            </w:r>
          </w:p>
        </w:tc>
        <w:tc>
          <w:tcPr>
            <w:tcW w:w="684"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标准分值</w:t>
            </w:r>
          </w:p>
        </w:tc>
        <w:tc>
          <w:tcPr>
            <w:tcW w:w="1038"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指标值或评分项</w:t>
            </w:r>
          </w:p>
        </w:tc>
        <w:tc>
          <w:tcPr>
            <w:tcW w:w="1018"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bCs/>
                <w:sz w:val="24"/>
              </w:rPr>
              <w:t>文件名称∕页码</w:t>
            </w: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84" w:type="pct"/>
            <w:tcBorders>
              <w:top w:val="nil"/>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一</w:t>
            </w: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项目1</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指标1</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nil"/>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指标2</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nil"/>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指标3</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nil"/>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85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w:t>
            </w:r>
          </w:p>
        </w:tc>
        <w:tc>
          <w:tcPr>
            <w:tcW w:w="982"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84" w:type="pct"/>
            <w:tcBorders>
              <w:top w:val="nil"/>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852"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项目2</w:t>
            </w:r>
          </w:p>
        </w:tc>
        <w:tc>
          <w:tcPr>
            <w:tcW w:w="982"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single" w:color="auto" w:sz="4" w:space="0"/>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852"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指标1</w:t>
            </w:r>
          </w:p>
        </w:tc>
        <w:tc>
          <w:tcPr>
            <w:tcW w:w="982"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single" w:color="auto" w:sz="4" w:space="0"/>
              <w:left w:val="nil"/>
              <w:bottom w:val="single" w:color="auto" w:sz="4" w:space="0"/>
              <w:right w:val="single" w:color="auto" w:sz="4" w:space="0"/>
            </w:tcBorders>
            <w:vAlign w:val="center"/>
          </w:tcPr>
          <w:p>
            <w:pPr>
              <w:jc w:val="center"/>
              <w:rPr>
                <w:bCs/>
                <w:sz w:val="24"/>
              </w:rPr>
            </w:pPr>
          </w:p>
        </w:tc>
        <w:tc>
          <w:tcPr>
            <w:tcW w:w="1038"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85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指标2</w:t>
            </w:r>
          </w:p>
        </w:tc>
        <w:tc>
          <w:tcPr>
            <w:tcW w:w="9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8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85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指标3</w:t>
            </w:r>
          </w:p>
        </w:tc>
        <w:tc>
          <w:tcPr>
            <w:tcW w:w="982"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8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6"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5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8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68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99"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spacing w:line="276" w:lineRule="auto"/>
              <w:rPr>
                <w:bCs/>
                <w:sz w:val="24"/>
              </w:rPr>
            </w:pPr>
            <w:r>
              <w:rPr>
                <w:rFonts w:hint="eastAsia"/>
                <w:bCs/>
                <w:sz w:val="24"/>
              </w:rPr>
              <w:t>备注：报价供应商按照《商务评审标准表》编制此表。报价供应商应当根据本单位实际情况填写指标值或评分项，并标注相关证明材料在资格证明文件或商务技术文件的位置页码，报价供应商不得虚报、瞒报、漏报或虚假承诺。</w:t>
            </w:r>
          </w:p>
        </w:tc>
      </w:tr>
    </w:tbl>
    <w:p>
      <w:pPr>
        <w:widowControl/>
        <w:ind w:firstLine="420" w:firstLineChars="200"/>
        <w:jc w:val="left"/>
        <w:rPr>
          <w:rFonts w:ascii="Arial" w:hAnsi="Arial" w:eastAsia="黑体"/>
          <w:bCs/>
          <w:sz w:val="28"/>
          <w:szCs w:val="28"/>
        </w:rPr>
      </w:pPr>
      <w:r>
        <w:rPr>
          <w:bCs/>
        </w:rPr>
        <w:br w:type="page"/>
      </w:r>
    </w:p>
    <w:p>
      <w:pPr>
        <w:pStyle w:val="6"/>
        <w:spacing w:before="120" w:beforeLines="50" w:after="120" w:afterLines="50" w:line="560" w:lineRule="exact"/>
        <w:rPr>
          <w:rFonts w:hint="default"/>
          <w:b w:val="0"/>
        </w:rPr>
      </w:pPr>
      <w:bookmarkStart w:id="412" w:name="_Toc112768464"/>
      <w:bookmarkStart w:id="413" w:name="_Toc32426"/>
      <w:bookmarkStart w:id="414" w:name="_Toc1679"/>
      <w:bookmarkStart w:id="415" w:name="_Toc32161"/>
      <w:bookmarkStart w:id="416" w:name="_Toc26402"/>
      <w:bookmarkStart w:id="417" w:name="_Toc2962"/>
      <w:r>
        <w:rPr>
          <w:b w:val="0"/>
        </w:rPr>
        <w:t>附件2-3 技术评审索引表</w:t>
      </w:r>
      <w:bookmarkEnd w:id="412"/>
      <w:bookmarkEnd w:id="413"/>
      <w:bookmarkEnd w:id="414"/>
      <w:bookmarkEnd w:id="415"/>
      <w:bookmarkEnd w:id="416"/>
      <w:bookmarkEnd w:id="417"/>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技术评审索引表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3"/>
        <w:tblW w:w="5000" w:type="pct"/>
        <w:jc w:val="center"/>
        <w:tblLayout w:type="autofit"/>
        <w:tblCellMar>
          <w:top w:w="0" w:type="dxa"/>
          <w:left w:w="108" w:type="dxa"/>
          <w:bottom w:w="0" w:type="dxa"/>
          <w:right w:w="108" w:type="dxa"/>
        </w:tblCellMar>
      </w:tblPr>
      <w:tblGrid>
        <w:gridCol w:w="817"/>
        <w:gridCol w:w="1405"/>
        <w:gridCol w:w="2138"/>
        <w:gridCol w:w="1277"/>
        <w:gridCol w:w="1985"/>
        <w:gridCol w:w="1948"/>
      </w:tblGrid>
      <w:tr>
        <w:tblPrEx>
          <w:tblCellMar>
            <w:top w:w="0" w:type="dxa"/>
            <w:left w:w="108" w:type="dxa"/>
            <w:bottom w:w="0" w:type="dxa"/>
            <w:right w:w="108" w:type="dxa"/>
          </w:tblCellMar>
        </w:tblPrEx>
        <w:trPr>
          <w:trHeight w:val="646" w:hRule="atLeast"/>
          <w:jc w:val="center"/>
        </w:trPr>
        <w:tc>
          <w:tcPr>
            <w:tcW w:w="427" w:type="pct"/>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2518" w:type="pct"/>
            <w:gridSpan w:val="3"/>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采购机构填写</w:t>
            </w:r>
          </w:p>
        </w:tc>
        <w:tc>
          <w:tcPr>
            <w:tcW w:w="2055" w:type="pct"/>
            <w:gridSpan w:val="2"/>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报价供应商填写</w:t>
            </w:r>
          </w:p>
        </w:tc>
      </w:tr>
      <w:tr>
        <w:tblPrEx>
          <w:tblCellMar>
            <w:top w:w="0" w:type="dxa"/>
            <w:left w:w="108" w:type="dxa"/>
            <w:bottom w:w="0" w:type="dxa"/>
            <w:right w:w="108" w:type="dxa"/>
          </w:tblCellMar>
        </w:tblPrEx>
        <w:trPr>
          <w:trHeight w:val="680" w:hRule="atLeast"/>
          <w:jc w:val="center"/>
        </w:trPr>
        <w:tc>
          <w:tcPr>
            <w:tcW w:w="427" w:type="pct"/>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734"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评审项目</w:t>
            </w:r>
          </w:p>
        </w:tc>
        <w:tc>
          <w:tcPr>
            <w:tcW w:w="1117"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计分模型</w:t>
            </w:r>
          </w:p>
        </w:tc>
        <w:tc>
          <w:tcPr>
            <w:tcW w:w="667"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标准分值</w:t>
            </w:r>
          </w:p>
        </w:tc>
        <w:tc>
          <w:tcPr>
            <w:tcW w:w="1037"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指标值或评分项</w:t>
            </w:r>
          </w:p>
        </w:tc>
        <w:tc>
          <w:tcPr>
            <w:tcW w:w="1018" w:type="pct"/>
            <w:tcBorders>
              <w:top w:val="single" w:color="auto" w:sz="4" w:space="0"/>
              <w:left w:val="nil"/>
              <w:bottom w:val="single" w:color="auto" w:sz="4" w:space="0"/>
              <w:right w:val="single" w:color="auto" w:sz="4" w:space="0"/>
            </w:tcBorders>
            <w:vAlign w:val="center"/>
          </w:tcPr>
          <w:p>
            <w:pPr>
              <w:jc w:val="center"/>
              <w:rPr>
                <w:rFonts w:ascii="宋体" w:hAnsi="宋体" w:cs="宋体"/>
                <w:bCs/>
                <w:sz w:val="24"/>
              </w:rPr>
            </w:pPr>
            <w:r>
              <w:rPr>
                <w:rFonts w:hint="eastAsia"/>
                <w:bCs/>
                <w:sz w:val="24"/>
              </w:rPr>
              <w:t>文件名称∕页码</w:t>
            </w: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合</w:t>
            </w:r>
            <w:r>
              <w:rPr>
                <w:rFonts w:asciiTheme="minorEastAsia" w:hAnsiTheme="minorEastAsia" w:eastAsiaTheme="minorEastAsia"/>
                <w:bCs/>
                <w:sz w:val="24"/>
              </w:rPr>
              <w:t xml:space="preserve">  </w:t>
            </w:r>
            <w:r>
              <w:rPr>
                <w:rFonts w:hint="eastAsia" w:asciiTheme="minorEastAsia" w:hAnsiTheme="minorEastAsia" w:eastAsiaTheme="minorEastAsia"/>
                <w:bCs/>
                <w:sz w:val="24"/>
              </w:rPr>
              <w:t>计</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67" w:type="pct"/>
            <w:tcBorders>
              <w:top w:val="nil"/>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一</w:t>
            </w: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项目1</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指标1</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nil"/>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指标2</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nil"/>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指标3</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nil"/>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734"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w:t>
            </w:r>
          </w:p>
        </w:tc>
        <w:tc>
          <w:tcPr>
            <w:tcW w:w="1117" w:type="pct"/>
            <w:tcBorders>
              <w:top w:val="nil"/>
              <w:left w:val="nil"/>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67" w:type="pct"/>
            <w:tcBorders>
              <w:top w:val="nil"/>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二</w:t>
            </w:r>
          </w:p>
        </w:tc>
        <w:tc>
          <w:tcPr>
            <w:tcW w:w="734"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项目2</w:t>
            </w:r>
          </w:p>
        </w:tc>
        <w:tc>
          <w:tcPr>
            <w:tcW w:w="1117"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single" w:color="auto" w:sz="4" w:space="0"/>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734"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指标1</w:t>
            </w:r>
          </w:p>
        </w:tc>
        <w:tc>
          <w:tcPr>
            <w:tcW w:w="1117" w:type="pct"/>
            <w:tcBorders>
              <w:top w:val="single" w:color="auto" w:sz="4" w:space="0"/>
              <w:left w:val="nil"/>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single" w:color="auto" w:sz="4" w:space="0"/>
              <w:left w:val="nil"/>
              <w:bottom w:val="single" w:color="auto" w:sz="4" w:space="0"/>
              <w:right w:val="single" w:color="auto" w:sz="4" w:space="0"/>
            </w:tcBorders>
            <w:vAlign w:val="center"/>
          </w:tcPr>
          <w:p>
            <w:pPr>
              <w:jc w:val="center"/>
              <w:rPr>
                <w:bCs/>
                <w:sz w:val="24"/>
              </w:rPr>
            </w:pPr>
          </w:p>
        </w:tc>
        <w:tc>
          <w:tcPr>
            <w:tcW w:w="1037" w:type="pct"/>
            <w:tcBorders>
              <w:top w:val="single" w:color="auto" w:sz="4" w:space="0"/>
              <w:left w:val="nil"/>
              <w:bottom w:val="single" w:color="auto" w:sz="4" w:space="0"/>
              <w:right w:val="single" w:color="auto" w:sz="4" w:space="0"/>
            </w:tcBorders>
            <w:vAlign w:val="center"/>
          </w:tcPr>
          <w:p>
            <w:pPr>
              <w:jc w:val="center"/>
              <w:rPr>
                <w:bCs/>
                <w:sz w:val="24"/>
              </w:rPr>
            </w:pPr>
          </w:p>
        </w:tc>
        <w:tc>
          <w:tcPr>
            <w:tcW w:w="1018" w:type="pct"/>
            <w:tcBorders>
              <w:top w:val="single" w:color="auto" w:sz="4" w:space="0"/>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 xml:space="preserve"> 指标2</w:t>
            </w: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 xml:space="preserve"> </w:t>
            </w: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hint="eastAsia" w:asciiTheme="minorEastAsia" w:hAnsiTheme="minorEastAsia" w:eastAsiaTheme="minorEastAsia"/>
                <w:bCs/>
                <w:sz w:val="24"/>
              </w:rPr>
              <w:t>指标3</w:t>
            </w: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680" w:hRule="atLeas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3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66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3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01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354"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pPr>
              <w:spacing w:line="276" w:lineRule="auto"/>
              <w:rPr>
                <w:bCs/>
                <w:sz w:val="24"/>
              </w:rPr>
            </w:pPr>
            <w:r>
              <w:rPr>
                <w:rFonts w:hint="eastAsia"/>
                <w:bCs/>
                <w:sz w:val="24"/>
              </w:rPr>
              <w:t>备注：报价供应商按照《技术评审标准表》编制此表。报价供应商应当根据本单位实际情况填写指标值或评分项，并标注相关证明材料在资格证明文件或商务技术文件的位置页码，报价供应商不得虚报、瞒报、漏报或虚假承诺。</w:t>
            </w:r>
          </w:p>
        </w:tc>
      </w:tr>
    </w:tbl>
    <w:p>
      <w:pPr>
        <w:jc w:val="center"/>
        <w:rPr>
          <w:bCs/>
        </w:rPr>
      </w:pPr>
    </w:p>
    <w:p>
      <w:pPr>
        <w:pStyle w:val="6"/>
        <w:spacing w:before="120" w:beforeLines="50" w:after="120" w:afterLines="50" w:line="560" w:lineRule="exact"/>
        <w:rPr>
          <w:rFonts w:hint="default"/>
          <w:b w:val="0"/>
        </w:rPr>
      </w:pPr>
      <w:r>
        <w:rPr>
          <w:b w:val="0"/>
        </w:rPr>
        <w:br w:type="page"/>
      </w:r>
      <w:bookmarkStart w:id="418" w:name="_Toc23368"/>
      <w:bookmarkStart w:id="419" w:name="_Toc5191"/>
      <w:bookmarkStart w:id="420" w:name="_Toc112768465"/>
      <w:bookmarkStart w:id="421" w:name="_Toc13024"/>
      <w:bookmarkStart w:id="422" w:name="_Toc14205"/>
      <w:bookmarkStart w:id="423" w:name="_Toc27075"/>
      <w:r>
        <w:rPr>
          <w:b w:val="0"/>
        </w:rPr>
        <w:t>附件2-4 谈判函</w:t>
      </w:r>
      <w:bookmarkEnd w:id="418"/>
      <w:bookmarkEnd w:id="419"/>
      <w:bookmarkEnd w:id="420"/>
      <w:bookmarkEnd w:id="421"/>
      <w:bookmarkEnd w:id="422"/>
      <w:bookmarkEnd w:id="42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谈判函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进行谈判。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一、按照谈判文件要求提交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二、我方已完全理解谈判文件的全部内容，自愿接受并执行谈判文件的全部条款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四、我方在参与谈判前已仔细研究了谈判文件和所有相关</w:t>
      </w:r>
      <w:r>
        <w:rPr>
          <w:rFonts w:hint="eastAsia" w:ascii="宋体" w:hAnsi="宋体"/>
          <w:bCs/>
          <w:sz w:val="28"/>
          <w:szCs w:val="28"/>
        </w:rPr>
        <w:t>材料</w:t>
      </w:r>
      <w:r>
        <w:rPr>
          <w:rFonts w:hint="eastAsia" w:ascii="宋体" w:hAnsi="宋体" w:cs="宋体"/>
          <w:bCs/>
          <w:snapToGrid w:val="0"/>
          <w:sz w:val="28"/>
          <w:szCs w:val="28"/>
          <w:lang w:val="zh-CN"/>
        </w:rPr>
        <w:t>，同意谈判文件的相关条款。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不实而造成的责任和后果由我方承担。我方同意按照贵部要求，提供与谈判有关数据或信息。我方承诺完全按照谈判文件有关内容履约。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60" w:firstLineChars="200"/>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60" w:firstLineChars="200"/>
        <w:rPr>
          <w:rFonts w:ascii="宋体" w:hAnsi="宋体" w:cs="宋体"/>
          <w:bCs/>
          <w:sz w:val="28"/>
          <w:szCs w:val="28"/>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p>
    <w:p>
      <w:pPr>
        <w:spacing w:line="500" w:lineRule="exact"/>
        <w:jc w:val="center"/>
        <w:rPr>
          <w:rFonts w:ascii="宋体" w:hAnsi="宋体" w:cs="宋体"/>
          <w:bCs/>
          <w:sz w:val="28"/>
          <w:szCs w:val="28"/>
          <w:lang w:val="zh-CN"/>
        </w:rPr>
      </w:pP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pPr>
        <w:spacing w:line="560" w:lineRule="exact"/>
        <w:ind w:firstLine="560" w:firstLineChars="200"/>
        <w:rPr>
          <w:rFonts w:ascii="宋体" w:hAnsi="宋体" w:cs="宋体"/>
          <w:bCs/>
          <w:sz w:val="28"/>
          <w:szCs w:val="28"/>
          <w:lang w:val="zh-CN"/>
        </w:rPr>
      </w:pPr>
      <w:r>
        <w:rPr>
          <w:rFonts w:hint="eastAsia"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6"/>
        <w:spacing w:before="120" w:beforeLines="50" w:after="120" w:afterLines="50" w:line="560" w:lineRule="exact"/>
        <w:rPr>
          <w:rFonts w:hint="default"/>
          <w:b w:val="0"/>
        </w:rPr>
      </w:pPr>
      <w:r>
        <w:rPr>
          <w:b w:val="0"/>
          <w:lang w:val="zh-CN"/>
        </w:rPr>
        <w:br w:type="page"/>
      </w:r>
      <w:bookmarkStart w:id="424" w:name="_Toc3905"/>
      <w:bookmarkStart w:id="425" w:name="_Toc1860"/>
      <w:bookmarkStart w:id="426" w:name="_Toc18444"/>
      <w:bookmarkStart w:id="427" w:name="_Toc112768467"/>
      <w:bookmarkStart w:id="428" w:name="_Toc2718"/>
      <w:bookmarkStart w:id="429" w:name="_Toc17366"/>
      <w:bookmarkStart w:id="430" w:name="_Toc31085"/>
      <w:bookmarkStart w:id="431" w:name="_Toc4327"/>
      <w:bookmarkStart w:id="432" w:name="_Toc19235"/>
      <w:bookmarkStart w:id="433" w:name="_Toc7432"/>
      <w:bookmarkStart w:id="434" w:name="_Toc112768466"/>
      <w:bookmarkStart w:id="435" w:name="_Toc25557"/>
      <w:r>
        <w:rPr>
          <w:b w:val="0"/>
        </w:rPr>
        <w:t>附件2-5商务条款响应偏离表</w:t>
      </w:r>
      <w:bookmarkEnd w:id="424"/>
      <w:bookmarkEnd w:id="425"/>
      <w:bookmarkEnd w:id="426"/>
      <w:bookmarkEnd w:id="427"/>
      <w:bookmarkEnd w:id="428"/>
      <w:bookmarkEnd w:id="429"/>
    </w:p>
    <w:p>
      <w:pPr>
        <w:spacing w:before="120" w:beforeLines="50" w:after="120" w:afterLines="50" w:line="560" w:lineRule="exact"/>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276"/>
        <w:gridCol w:w="1134"/>
        <w:gridCol w:w="2171"/>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17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1089"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2171" w:type="dxa"/>
            <w:tcBorders>
              <w:top w:val="single" w:color="auto" w:sz="4" w:space="0"/>
              <w:left w:val="single" w:color="auto" w:sz="4" w:space="0"/>
              <w:bottom w:val="single" w:color="auto" w:sz="4" w:space="0"/>
              <w:right w:val="single" w:color="auto" w:sz="4" w:space="0"/>
            </w:tcBorders>
          </w:tcPr>
          <w:p>
            <w:pPr>
              <w:rPr>
                <w:bCs/>
                <w:sz w:val="24"/>
              </w:rPr>
            </w:pPr>
          </w:p>
        </w:tc>
        <w:tc>
          <w:tcPr>
            <w:tcW w:w="1089"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exact"/>
        </w:trPr>
        <w:tc>
          <w:tcPr>
            <w:tcW w:w="9356" w:type="dxa"/>
            <w:gridSpan w:val="7"/>
            <w:tcBorders>
              <w:top w:val="single" w:color="auto" w:sz="4" w:space="0"/>
              <w:left w:val="single" w:color="auto" w:sz="4" w:space="0"/>
              <w:bottom w:val="single" w:color="auto" w:sz="4" w:space="0"/>
              <w:right w:val="single" w:color="auto" w:sz="4" w:space="0"/>
            </w:tcBorders>
            <w:vAlign w:val="center"/>
          </w:tcPr>
          <w:p>
            <w:pPr>
              <w:spacing w:before="120" w:beforeLines="50" w:line="276" w:lineRule="auto"/>
              <w:rPr>
                <w:bCs/>
                <w:sz w:val="24"/>
              </w:rPr>
            </w:pPr>
            <w:bookmarkStart w:id="436"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36"/>
          </w:p>
        </w:tc>
      </w:tr>
    </w:tbl>
    <w:p>
      <w:pPr>
        <w:ind w:firstLine="480" w:firstLineChars="200"/>
        <w:rPr>
          <w:rFonts w:ascii="宋体" w:hAnsi="宋体"/>
          <w:bCs/>
          <w:sz w:val="24"/>
        </w:rPr>
      </w:pPr>
    </w:p>
    <w:p>
      <w:pPr>
        <w:spacing w:line="560" w:lineRule="exact"/>
        <w:rPr>
          <w:bCs/>
          <w:sz w:val="24"/>
        </w:rPr>
      </w:pPr>
    </w:p>
    <w:p>
      <w:pPr>
        <w:spacing w:line="560" w:lineRule="exact"/>
        <w:ind w:firstLine="4314" w:firstLineChars="1541"/>
        <w:rPr>
          <w:bCs/>
          <w:sz w:val="28"/>
          <w:szCs w:val="28"/>
        </w:rPr>
      </w:pPr>
      <w:r>
        <w:rPr>
          <w:rFonts w:hint="eastAsia"/>
          <w:bCs/>
          <w:sz w:val="28"/>
          <w:szCs w:val="28"/>
        </w:rPr>
        <w:t>报价供应商全称：（盖章）</w:t>
      </w:r>
    </w:p>
    <w:p>
      <w:pPr>
        <w:spacing w:line="560" w:lineRule="exact"/>
        <w:ind w:left="3219" w:leftChars="1533" w:firstLine="1120" w:firstLineChars="400"/>
        <w:rPr>
          <w:bCs/>
          <w:sz w:val="28"/>
          <w:szCs w:val="28"/>
        </w:rPr>
      </w:pPr>
      <w:r>
        <w:rPr>
          <w:rFonts w:hint="eastAsia"/>
          <w:bCs/>
          <w:sz w:val="28"/>
          <w:szCs w:val="28"/>
        </w:rPr>
        <w:t>法定代表人（或授权代表）：（签字）</w:t>
      </w:r>
    </w:p>
    <w:p>
      <w:pPr>
        <w:spacing w:line="560" w:lineRule="exact"/>
        <w:ind w:firstLine="6440" w:firstLineChars="2300"/>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ind w:firstLine="560" w:firstLineChars="200"/>
        <w:rPr>
          <w:bCs/>
          <w:sz w:val="28"/>
          <w:szCs w:val="28"/>
        </w:rPr>
      </w:pPr>
      <w:r>
        <w:rPr>
          <w:rFonts w:hint="eastAsia"/>
          <w:bCs/>
          <w:sz w:val="28"/>
          <w:szCs w:val="28"/>
        </w:rPr>
        <w:br w:type="page"/>
      </w:r>
    </w:p>
    <w:p>
      <w:pPr>
        <w:pStyle w:val="6"/>
        <w:spacing w:before="120" w:beforeLines="50" w:after="120" w:afterLines="50" w:line="560" w:lineRule="exact"/>
        <w:rPr>
          <w:rFonts w:hint="default"/>
          <w:b w:val="0"/>
        </w:rPr>
      </w:pPr>
      <w:r>
        <w:rPr>
          <w:b w:val="0"/>
        </w:rPr>
        <w:t>附件2-6 技术指标参数响应偏离表</w:t>
      </w:r>
      <w:bookmarkEnd w:id="430"/>
      <w:bookmarkEnd w:id="431"/>
      <w:bookmarkEnd w:id="432"/>
      <w:bookmarkEnd w:id="433"/>
      <w:bookmarkEnd w:id="434"/>
      <w:bookmarkEnd w:id="435"/>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3"/>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1134"/>
        <w:gridCol w:w="1909"/>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09"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09"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09"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09"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对照专用文件技术要求，逐条如实填写所投物资的具体技术评审参数，注明无偏离、正偏离或负偏离，并在备注中注明偏离的具体内容。技术指标参数响应栏如果原文完全复制谈判文件技术要求，作无效报价处理。负偏离应当如实注明。本表中带“★”号条款出现负偏离，视为无效报价。</w:t>
            </w:r>
          </w:p>
        </w:tc>
      </w:tr>
    </w:tbl>
    <w:p>
      <w:pPr>
        <w:rPr>
          <w:bCs/>
        </w:rPr>
      </w:pPr>
    </w:p>
    <w:p>
      <w:pPr>
        <w:rPr>
          <w:bCs/>
        </w:rPr>
      </w:pPr>
    </w:p>
    <w:p>
      <w:pPr>
        <w:rPr>
          <w:bCs/>
        </w:rPr>
      </w:pPr>
    </w:p>
    <w:p>
      <w:pPr>
        <w:spacing w:line="360" w:lineRule="auto"/>
        <w:rPr>
          <w:bCs/>
        </w:rPr>
      </w:pPr>
    </w:p>
    <w:p>
      <w:pPr>
        <w:spacing w:line="360" w:lineRule="auto"/>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360" w:lineRule="auto"/>
        <w:rPr>
          <w:rFonts w:hint="default"/>
          <w:bCs w:val="0"/>
        </w:rPr>
      </w:pPr>
      <w:r>
        <w:rPr>
          <w:b w:val="0"/>
        </w:rPr>
        <w:br w:type="page"/>
      </w:r>
    </w:p>
    <w:p>
      <w:pPr>
        <w:pStyle w:val="6"/>
        <w:spacing w:before="120" w:beforeLines="50" w:after="120" w:afterLines="50" w:line="560" w:lineRule="exact"/>
        <w:rPr>
          <w:rFonts w:hint="default"/>
          <w:b w:val="0"/>
        </w:rPr>
      </w:pPr>
      <w:bookmarkStart w:id="437" w:name="_Toc17357"/>
      <w:bookmarkStart w:id="438" w:name="_Toc15352"/>
      <w:bookmarkStart w:id="439" w:name="_Toc9609"/>
      <w:bookmarkStart w:id="440" w:name="_Toc31198"/>
      <w:bookmarkStart w:id="441" w:name="_Toc23421"/>
      <w:bookmarkStart w:id="442" w:name="_Toc112768470"/>
      <w:bookmarkStart w:id="443" w:name="_Toc5827"/>
      <w:bookmarkStart w:id="444" w:name="_Toc15416"/>
      <w:bookmarkStart w:id="445" w:name="_Toc11622"/>
      <w:bookmarkStart w:id="446" w:name="_Toc14714"/>
      <w:bookmarkStart w:id="447" w:name="_Toc29226"/>
      <w:bookmarkStart w:id="448" w:name="_Toc112768468"/>
      <w:r>
        <w:rPr>
          <w:b w:val="0"/>
        </w:rPr>
        <w:t>附件2-7交货清单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94"/>
        <w:gridCol w:w="882"/>
        <w:gridCol w:w="1369"/>
        <w:gridCol w:w="808"/>
        <w:gridCol w:w="1034"/>
        <w:gridCol w:w="1106"/>
        <w:gridCol w:w="754"/>
        <w:gridCol w:w="754"/>
        <w:gridCol w:w="7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7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46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715"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22"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42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7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6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715"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22"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360" w:lineRule="auto"/>
        <w:jc w:val="center"/>
        <w:rPr>
          <w:bCs/>
          <w:sz w:val="28"/>
          <w:szCs w:val="28"/>
          <w:lang w:val="zh-CN"/>
        </w:rPr>
      </w:pPr>
      <w:r>
        <w:rPr>
          <w:rFonts w:hint="eastAsia"/>
          <w:snapToGrid w:val="0"/>
          <w:sz w:val="28"/>
          <w:szCs w:val="28"/>
          <w:lang w:val="zh-CN"/>
        </w:rPr>
        <w:t xml:space="preserve">    </w:t>
      </w:r>
      <w:r>
        <w:rPr>
          <w:snapToGrid w:val="0"/>
          <w:sz w:val="28"/>
          <w:szCs w:val="28"/>
          <w:lang w:val="zh-CN"/>
        </w:rPr>
        <w:t xml:space="preserve">                </w:t>
      </w:r>
      <w:r>
        <w:rPr>
          <w:rFonts w:hint="eastAsia"/>
          <w:bCs/>
          <w:sz w:val="28"/>
          <w:szCs w:val="28"/>
          <w:lang w:val="zh-CN"/>
        </w:rPr>
        <w:t>报价供应商全称：（盖章）</w:t>
      </w:r>
    </w:p>
    <w:p>
      <w:pPr>
        <w:spacing w:line="360" w:lineRule="auto"/>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p>
    <w:p/>
    <w:p>
      <w:pPr>
        <w:widowControl/>
        <w:jc w:val="left"/>
      </w:pPr>
      <w:r>
        <w:br w:type="page"/>
      </w:r>
    </w:p>
    <w:p>
      <w:pPr>
        <w:pStyle w:val="6"/>
        <w:spacing w:before="120" w:beforeLines="50" w:after="120" w:afterLines="50" w:line="560" w:lineRule="exact"/>
        <w:rPr>
          <w:rFonts w:hint="default"/>
          <w:b w:val="0"/>
        </w:rPr>
      </w:pPr>
      <w:r>
        <w:rPr>
          <w:b w:val="0"/>
        </w:rPr>
        <w:t>※附件2-8 易损易耗件清单</w:t>
      </w:r>
      <w:bookmarkEnd w:id="437"/>
      <w:bookmarkEnd w:id="438"/>
      <w:bookmarkEnd w:id="439"/>
      <w:bookmarkEnd w:id="440"/>
      <w:bookmarkEnd w:id="441"/>
      <w:bookmarkEnd w:id="44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3"/>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417"/>
        <w:gridCol w:w="851"/>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417" w:type="dxa"/>
            <w:tcBorders>
              <w:top w:val="single" w:color="auto" w:sz="4" w:space="0"/>
              <w:left w:val="single" w:color="auto" w:sz="4" w:space="0"/>
              <w:bottom w:val="single" w:color="auto" w:sz="4" w:space="0"/>
              <w:right w:val="single" w:color="auto" w:sz="4" w:space="0"/>
            </w:tcBorders>
          </w:tcPr>
          <w:p>
            <w:pPr>
              <w:rPr>
                <w:bCs/>
                <w:sz w:val="24"/>
              </w:rPr>
            </w:pPr>
          </w:p>
        </w:tc>
        <w:tc>
          <w:tcPr>
            <w:tcW w:w="85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ind w:firstLine="560" w:firstLineChars="200"/>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bCs/>
        </w:rPr>
      </w:pPr>
    </w:p>
    <w:p>
      <w:pPr>
        <w:rPr>
          <w:bCs/>
        </w:rPr>
      </w:pPr>
    </w:p>
    <w:p>
      <w:pPr>
        <w:rPr>
          <w:bCs/>
        </w:rPr>
      </w:pPr>
    </w:p>
    <w:p>
      <w:pPr>
        <w:widowControl/>
        <w:jc w:val="left"/>
        <w:rPr>
          <w:rFonts w:ascii="Arial" w:hAnsi="Arial" w:eastAsia="黑体"/>
          <w:bCs/>
          <w:sz w:val="28"/>
          <w:szCs w:val="28"/>
        </w:rPr>
      </w:pPr>
      <w:bookmarkStart w:id="449" w:name="_Toc13729"/>
      <w:bookmarkStart w:id="450" w:name="_Toc29285"/>
      <w:bookmarkStart w:id="451" w:name="_Toc16278"/>
      <w:bookmarkStart w:id="452" w:name="_Toc25755"/>
      <w:bookmarkStart w:id="453" w:name="_Toc3267"/>
      <w:bookmarkStart w:id="454" w:name="_Toc112768469"/>
      <w:r>
        <w:rPr>
          <w:b/>
        </w:rPr>
        <w:br w:type="page"/>
      </w:r>
    </w:p>
    <w:bookmarkEnd w:id="449"/>
    <w:bookmarkEnd w:id="450"/>
    <w:bookmarkEnd w:id="451"/>
    <w:bookmarkEnd w:id="452"/>
    <w:bookmarkEnd w:id="453"/>
    <w:bookmarkEnd w:id="454"/>
    <w:p>
      <w:pPr>
        <w:pStyle w:val="6"/>
        <w:spacing w:before="120" w:beforeLines="50" w:after="120" w:afterLines="50" w:line="560" w:lineRule="exact"/>
        <w:rPr>
          <w:rFonts w:hint="default"/>
          <w:b w:val="0"/>
        </w:rPr>
      </w:pPr>
      <w:r>
        <w:rPr>
          <w:b w:val="0"/>
        </w:rPr>
        <w:t>附件2-9 售后服务方案</w:t>
      </w:r>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spacing w:line="360" w:lineRule="auto"/>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r>
        <w:rPr>
          <w:rFonts w:hint="eastAsia"/>
          <w:bCs/>
          <w:sz w:val="28"/>
          <w:szCs w:val="28"/>
        </w:rPr>
        <w:t>应包括但不限于针对本项目配置的维保人员、定期保养方案、故障处理的应对与解决方案、临床使用及维修培训方案、备品备件的库存及到货时间等因素</w:t>
      </w:r>
      <w:r>
        <w:rPr>
          <w:rFonts w:hint="eastAsia"/>
          <w:bCs/>
          <w:sz w:val="28"/>
          <w:szCs w:val="28"/>
          <w:lang w:val="zh-CN"/>
        </w:rPr>
        <w:t>）</w:t>
      </w:r>
    </w:p>
    <w:p>
      <w:pPr>
        <w:pStyle w:val="2"/>
        <w:rPr>
          <w:bCs/>
          <w:sz w:val="28"/>
          <w:szCs w:val="28"/>
          <w:lang w:val="zh-CN"/>
        </w:rPr>
      </w:pPr>
    </w:p>
    <w:p>
      <w:pPr>
        <w:autoSpaceDE w:val="0"/>
        <w:autoSpaceDN w:val="0"/>
        <w:adjustRightInd w:val="0"/>
        <w:snapToGrid w:val="0"/>
        <w:spacing w:line="400" w:lineRule="exact"/>
        <w:ind w:firstLine="630" w:firstLineChars="300"/>
      </w:pPr>
      <w:r>
        <w:rPr>
          <w:rFonts w:hint="eastAsia"/>
        </w:rPr>
        <w:t>附1：零配件保证供应时间承诺书</w:t>
      </w:r>
    </w:p>
    <w:p>
      <w:pPr>
        <w:pStyle w:val="2"/>
        <w:adjustRightInd w:val="0"/>
        <w:snapToGrid w:val="0"/>
        <w:spacing w:line="400" w:lineRule="exact"/>
        <w:ind w:firstLine="630" w:firstLineChars="300"/>
        <w:sectPr>
          <w:pgSz w:w="11906" w:h="16838"/>
          <w:pgMar w:top="1418" w:right="1134" w:bottom="1418" w:left="1418" w:header="851" w:footer="851" w:gutter="0"/>
          <w:cols w:space="720" w:num="1"/>
          <w:docGrid w:linePitch="388" w:charSpace="-1260"/>
        </w:sectPr>
      </w:pPr>
      <w:r>
        <w:rPr>
          <w:rFonts w:hint="eastAsia"/>
        </w:rPr>
        <w:t>附2：技术支持和服务网点</w:t>
      </w:r>
    </w:p>
    <w:p>
      <w:pPr>
        <w:pStyle w:val="25"/>
        <w:adjustRightInd w:val="0"/>
        <w:snapToGrid w:val="0"/>
        <w:spacing w:line="520" w:lineRule="exact"/>
        <w:outlineLvl w:val="4"/>
        <w:rPr>
          <w:sz w:val="28"/>
          <w:szCs w:val="18"/>
        </w:rPr>
      </w:pPr>
      <w:r>
        <w:rPr>
          <w:rFonts w:hint="eastAsia"/>
          <w:sz w:val="28"/>
          <w:szCs w:val="18"/>
        </w:rPr>
        <w:t>零配件保证供应时间承诺书</w:t>
      </w:r>
    </w:p>
    <w:p>
      <w:pPr>
        <w:pStyle w:val="25"/>
        <w:adjustRightInd w:val="0"/>
        <w:snapToGrid w:val="0"/>
        <w:spacing w:line="400" w:lineRule="exact"/>
        <w:rPr>
          <w:sz w:val="28"/>
          <w:szCs w:val="18"/>
        </w:rPr>
      </w:pPr>
      <w:r>
        <w:rPr>
          <w:rFonts w:hint="eastAsia"/>
          <w:sz w:val="28"/>
          <w:szCs w:val="18"/>
        </w:rPr>
        <w:t>（格式仅供参考）</w:t>
      </w:r>
    </w:p>
    <w:p>
      <w:pPr>
        <w:adjustRightInd w:val="0"/>
        <w:snapToGrid w:val="0"/>
        <w:spacing w:line="400" w:lineRule="exact"/>
        <w:rPr>
          <w:rFonts w:ascii="宋体" w:hAnsi="宋体"/>
        </w:rPr>
      </w:pPr>
      <w:r>
        <w:rPr>
          <w:rFonts w:hint="eastAsia" w:ascii="楷体_GB2312" w:hAnsi="宋体" w:eastAsia="楷体_GB2312"/>
          <w:u w:val="single"/>
        </w:rPr>
        <w:t>（采购机构名称）</w:t>
      </w:r>
      <w:r>
        <w:rPr>
          <w:rFonts w:ascii="宋体" w:hAnsi="宋体"/>
        </w:rPr>
        <w:t>：</w:t>
      </w:r>
    </w:p>
    <w:p>
      <w:pPr>
        <w:pStyle w:val="7"/>
        <w:adjustRightInd w:val="0"/>
        <w:snapToGrid w:val="0"/>
        <w:spacing w:line="400" w:lineRule="exact"/>
        <w:ind w:firstLine="480" w:firstLineChars="200"/>
        <w:rPr>
          <w:rFonts w:ascii="宋体" w:hAnsi="宋体"/>
          <w:sz w:val="24"/>
        </w:rPr>
      </w:pPr>
      <w:r>
        <w:rPr>
          <w:rFonts w:hint="eastAsia" w:ascii="宋体" w:hAnsi="宋体"/>
          <w:sz w:val="24"/>
        </w:rPr>
        <w:t>我方所制造的产品委托</w:t>
      </w:r>
      <w:r>
        <w:rPr>
          <w:rFonts w:hint="eastAsia" w:ascii="宋体" w:hAnsi="宋体"/>
          <w:sz w:val="24"/>
          <w:u w:val="single"/>
        </w:rPr>
        <w:t xml:space="preserve">                         </w:t>
      </w:r>
      <w:r>
        <w:rPr>
          <w:rFonts w:hint="eastAsia" w:ascii="宋体" w:hAnsi="宋体"/>
          <w:sz w:val="24"/>
        </w:rPr>
        <w:t>（报价供应商单位名称）参加贵单位组织的编号为</w:t>
      </w:r>
      <w:r>
        <w:rPr>
          <w:rFonts w:hint="eastAsia" w:ascii="宋体" w:hAnsi="宋体"/>
          <w:sz w:val="24"/>
          <w:u w:val="single"/>
        </w:rPr>
        <w:t xml:space="preserve">             </w:t>
      </w:r>
      <w:r>
        <w:rPr>
          <w:rFonts w:hint="eastAsia" w:ascii="宋体" w:hAnsi="宋体"/>
          <w:sz w:val="24"/>
        </w:rPr>
        <w:t>（项目编号）的</w:t>
      </w:r>
      <w:r>
        <w:rPr>
          <w:rFonts w:hint="eastAsia" w:ascii="宋体" w:hAnsi="宋体"/>
          <w:sz w:val="24"/>
          <w:u w:val="single"/>
        </w:rPr>
        <w:t xml:space="preserve">               </w:t>
      </w:r>
      <w:r>
        <w:rPr>
          <w:rFonts w:hint="eastAsia" w:ascii="宋体" w:hAnsi="宋体"/>
          <w:sz w:val="24"/>
        </w:rPr>
        <w:t>（项目名称）采购活动，现就有关事项承诺如下：</w:t>
      </w:r>
    </w:p>
    <w:p>
      <w:pPr>
        <w:adjustRightInd w:val="0"/>
        <w:snapToGrid w:val="0"/>
        <w:spacing w:line="400" w:lineRule="exact"/>
        <w:ind w:firstLine="420" w:firstLineChars="200"/>
        <w:rPr>
          <w:rFonts w:ascii="宋体" w:hAnsi="宋体"/>
        </w:rPr>
      </w:pPr>
      <w:r>
        <w:rPr>
          <w:rFonts w:hint="eastAsia" w:ascii="宋体" w:hAnsi="宋体"/>
        </w:rPr>
        <w:t>我方所制造的</w:t>
      </w:r>
      <w:r>
        <w:rPr>
          <w:rFonts w:hint="eastAsia" w:ascii="宋体" w:hAnsi="宋体"/>
          <w:u w:val="single"/>
        </w:rPr>
        <w:t xml:space="preserve">                （</w:t>
      </w:r>
      <w:r>
        <w:rPr>
          <w:rFonts w:hint="eastAsia" w:ascii="宋体" w:hAnsi="宋体"/>
        </w:rPr>
        <w:t>产品名称）</w:t>
      </w:r>
      <w:r>
        <w:rPr>
          <w:rFonts w:hint="eastAsia" w:ascii="宋体" w:hAnsi="宋体"/>
          <w:u w:val="single"/>
        </w:rPr>
        <w:t xml:space="preserve">        </w:t>
      </w:r>
      <w:r>
        <w:rPr>
          <w:rFonts w:hint="eastAsia" w:ascii="宋体" w:hAnsi="宋体"/>
        </w:rPr>
        <w:t>（规格型号）的零配件保证供应时间为：</w:t>
      </w:r>
      <w:r>
        <w:rPr>
          <w:rFonts w:hint="eastAsia" w:ascii="宋体" w:hAnsi="宋体"/>
          <w:u w:val="single"/>
        </w:rPr>
        <w:t xml:space="preserve"> </w:t>
      </w:r>
      <w:r>
        <w:rPr>
          <w:rFonts w:ascii="宋体" w:hAnsi="宋体"/>
          <w:u w:val="single"/>
        </w:rPr>
        <w:t xml:space="preserve">     </w:t>
      </w:r>
      <w:r>
        <w:rPr>
          <w:rFonts w:hint="eastAsia" w:ascii="宋体" w:hAnsi="宋体"/>
        </w:rPr>
        <w:t>年。</w:t>
      </w:r>
    </w:p>
    <w:p>
      <w:pPr>
        <w:adjustRightInd w:val="0"/>
        <w:snapToGrid w:val="0"/>
        <w:spacing w:line="400" w:lineRule="exact"/>
        <w:ind w:firstLine="420" w:firstLineChars="200"/>
        <w:rPr>
          <w:rFonts w:ascii="宋体" w:hAnsi="宋体"/>
        </w:rPr>
      </w:pPr>
      <w:r>
        <w:rPr>
          <w:rFonts w:hint="eastAsia" w:ascii="宋体" w:hAnsi="宋体"/>
        </w:rPr>
        <w:t>在合同签订前后随时愿意提供相关证明材料并随时接受采购人的检查验证。</w:t>
      </w:r>
    </w:p>
    <w:p>
      <w:pPr>
        <w:adjustRightInd w:val="0"/>
        <w:snapToGrid w:val="0"/>
        <w:spacing w:line="400" w:lineRule="exact"/>
        <w:ind w:firstLine="420" w:firstLineChars="200"/>
        <w:rPr>
          <w:rFonts w:ascii="宋体" w:hAnsi="宋体"/>
        </w:rPr>
      </w:pPr>
      <w:r>
        <w:rPr>
          <w:rFonts w:hint="eastAsia" w:ascii="宋体" w:hAnsi="宋体"/>
        </w:rPr>
        <w:t>违反上述承诺，愿承担一切法律责任，接受军队采购管理部门和采购人按国家和军队规定作出的相关处罚。</w:t>
      </w:r>
    </w:p>
    <w:p>
      <w:pPr>
        <w:adjustRightInd w:val="0"/>
        <w:snapToGrid w:val="0"/>
        <w:spacing w:line="400" w:lineRule="exact"/>
        <w:ind w:firstLine="420" w:firstLineChars="200"/>
        <w:rPr>
          <w:rFonts w:ascii="宋体" w:hAnsi="宋体"/>
        </w:rPr>
      </w:pPr>
      <w:r>
        <w:rPr>
          <w:rFonts w:hint="eastAsia" w:ascii="宋体" w:hAnsi="宋体"/>
        </w:rPr>
        <w:t>特此承诺。</w:t>
      </w:r>
    </w:p>
    <w:p>
      <w:pPr>
        <w:pStyle w:val="7"/>
        <w:adjustRightInd w:val="0"/>
        <w:snapToGrid w:val="0"/>
        <w:spacing w:line="400" w:lineRule="exact"/>
        <w:rPr>
          <w:rFonts w:ascii="宋体" w:hAnsi="宋体" w:cs="宋体"/>
          <w:sz w:val="20"/>
          <w:szCs w:val="22"/>
        </w:rPr>
      </w:pPr>
    </w:p>
    <w:p>
      <w:pPr>
        <w:adjustRightInd w:val="0"/>
        <w:snapToGrid w:val="0"/>
        <w:spacing w:line="400" w:lineRule="exact"/>
        <w:rPr>
          <w:rFonts w:ascii="宋体" w:hAnsi="宋体" w:cs="宋体"/>
          <w:sz w:val="22"/>
          <w:szCs w:val="22"/>
        </w:rPr>
      </w:pPr>
    </w:p>
    <w:p>
      <w:pPr>
        <w:pStyle w:val="2"/>
        <w:adjustRightInd w:val="0"/>
        <w:snapToGrid w:val="0"/>
        <w:spacing w:line="400" w:lineRule="exact"/>
        <w:rPr>
          <w:rFonts w:ascii="宋体" w:hAnsi="宋体" w:cs="宋体"/>
          <w:sz w:val="22"/>
          <w:szCs w:val="22"/>
        </w:rPr>
      </w:pPr>
    </w:p>
    <w:p>
      <w:pPr>
        <w:adjustRightInd w:val="0"/>
        <w:snapToGrid w:val="0"/>
        <w:spacing w:line="400" w:lineRule="exact"/>
        <w:rPr>
          <w:rFonts w:ascii="宋体" w:hAnsi="宋体" w:cs="宋体"/>
          <w:sz w:val="22"/>
          <w:szCs w:val="22"/>
        </w:rPr>
      </w:pPr>
    </w:p>
    <w:p>
      <w:pPr>
        <w:pStyle w:val="2"/>
        <w:adjustRightInd w:val="0"/>
        <w:snapToGrid w:val="0"/>
        <w:spacing w:line="400" w:lineRule="exact"/>
        <w:rPr>
          <w:sz w:val="22"/>
          <w:szCs w:val="22"/>
        </w:rPr>
      </w:pPr>
    </w:p>
    <w:p>
      <w:pPr>
        <w:autoSpaceDE w:val="0"/>
        <w:autoSpaceDN w:val="0"/>
        <w:adjustRightInd w:val="0"/>
        <w:snapToGrid w:val="0"/>
        <w:spacing w:line="400" w:lineRule="exact"/>
        <w:rPr>
          <w:lang w:val="zh-CN"/>
        </w:rPr>
      </w:pPr>
    </w:p>
    <w:p>
      <w:pPr>
        <w:adjustRightInd w:val="0"/>
        <w:snapToGrid w:val="0"/>
        <w:spacing w:line="400" w:lineRule="exact"/>
        <w:ind w:firstLine="1890" w:firstLineChars="900"/>
        <w:rPr>
          <w:lang w:val="zh-CN"/>
        </w:rPr>
      </w:pPr>
      <w:r>
        <w:rPr>
          <w:rFonts w:hint="eastAsia"/>
          <w:lang w:val="zh-CN"/>
        </w:rPr>
        <w:t>报价供应商</w:t>
      </w:r>
      <w:r>
        <w:rPr>
          <w:lang w:val="zh-CN"/>
        </w:rPr>
        <w:t>全称：（盖章）</w:t>
      </w:r>
    </w:p>
    <w:p>
      <w:pPr>
        <w:adjustRightInd w:val="0"/>
        <w:snapToGrid w:val="0"/>
        <w:spacing w:line="400" w:lineRule="exact"/>
        <w:jc w:val="center"/>
        <w:rPr>
          <w:lang w:val="zh-CN"/>
        </w:rPr>
      </w:pPr>
    </w:p>
    <w:p>
      <w:pPr>
        <w:adjustRightInd w:val="0"/>
        <w:snapToGrid w:val="0"/>
        <w:spacing w:line="400" w:lineRule="exact"/>
        <w:jc w:val="center"/>
        <w:rPr>
          <w:lang w:val="zh-CN"/>
        </w:rPr>
      </w:pPr>
      <w:r>
        <w:rPr>
          <w:lang w:val="zh-CN"/>
        </w:rPr>
        <w:t xml:space="preserve">    法定代表人（或授权代表）：（</w:t>
      </w:r>
      <w:r>
        <w:rPr>
          <w:rFonts w:hint="eastAsia"/>
          <w:lang w:val="zh-CN"/>
        </w:rPr>
        <w:t>签字或盖章</w:t>
      </w:r>
      <w:r>
        <w:rPr>
          <w:lang w:val="zh-CN"/>
        </w:rPr>
        <w:t>）</w:t>
      </w:r>
    </w:p>
    <w:p>
      <w:pPr>
        <w:adjustRightInd w:val="0"/>
        <w:snapToGrid w:val="0"/>
        <w:spacing w:line="400" w:lineRule="exact"/>
        <w:rPr>
          <w:lang w:val="zh-CN"/>
        </w:rPr>
      </w:pPr>
    </w:p>
    <w:p>
      <w:pPr>
        <w:sectPr>
          <w:pgSz w:w="11906" w:h="16838"/>
          <w:pgMar w:top="1418" w:right="1134" w:bottom="1418" w:left="1418" w:header="851" w:footer="851" w:gutter="0"/>
          <w:cols w:space="720" w:num="1"/>
          <w:docGrid w:linePitch="388" w:charSpace="-1260"/>
        </w:sectPr>
      </w:pPr>
      <w:r>
        <w:rPr>
          <w:rFonts w:hint="eastAsia"/>
          <w:lang w:val="zh-CN"/>
        </w:rPr>
        <w:t xml:space="preserve">                                    </w:t>
      </w:r>
      <w:r>
        <w:rPr>
          <w:rFonts w:hint="eastAsia"/>
          <w:u w:val="single"/>
        </w:rPr>
        <w:t xml:space="preserve">   </w:t>
      </w:r>
      <w:r>
        <w:t>年</w:t>
      </w:r>
      <w:r>
        <w:rPr>
          <w:rFonts w:hint="eastAsia"/>
          <w:u w:val="single"/>
        </w:rPr>
        <w:t xml:space="preserve"> </w:t>
      </w:r>
      <w:r>
        <w:rPr>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pPr>
        <w:pStyle w:val="2"/>
      </w:pPr>
    </w:p>
    <w:p>
      <w:pPr>
        <w:adjustRightInd w:val="0"/>
        <w:snapToGrid w:val="0"/>
        <w:spacing w:line="520" w:lineRule="exact"/>
        <w:jc w:val="center"/>
        <w:outlineLvl w:val="4"/>
        <w:rPr>
          <w:b/>
          <w:sz w:val="28"/>
          <w:szCs w:val="18"/>
          <w:lang w:val="zh-CN"/>
        </w:rPr>
      </w:pPr>
      <w:r>
        <w:rPr>
          <w:rFonts w:hint="eastAsia"/>
          <w:b/>
          <w:sz w:val="28"/>
          <w:szCs w:val="18"/>
          <w:lang w:val="zh-CN"/>
        </w:rPr>
        <w:t>技术支持和服务网点</w:t>
      </w:r>
    </w:p>
    <w:p>
      <w:pPr>
        <w:adjustRightInd w:val="0"/>
        <w:snapToGrid w:val="0"/>
        <w:spacing w:line="400" w:lineRule="exact"/>
        <w:jc w:val="center"/>
        <w:rPr>
          <w:b/>
          <w:sz w:val="28"/>
          <w:szCs w:val="18"/>
          <w:lang w:val="zh-CN"/>
        </w:rPr>
      </w:pPr>
    </w:p>
    <w:p>
      <w:pPr>
        <w:autoSpaceDE w:val="0"/>
        <w:autoSpaceDN w:val="0"/>
        <w:adjustRightInd w:val="0"/>
        <w:jc w:val="center"/>
        <w:rPr>
          <w:bCs/>
          <w:sz w:val="28"/>
          <w:szCs w:val="28"/>
          <w:lang w:val="zh-CN"/>
        </w:rPr>
      </w:pPr>
      <w:r>
        <w:rPr>
          <w:rFonts w:hint="eastAsia"/>
          <w:lang w:val="zh-CN"/>
        </w:rPr>
        <w:t>（由报价供应商自行拟定）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pPr>
      <w:r>
        <w:rPr>
          <w:lang w:val="zh-CN"/>
        </w:rPr>
        <w:br w:type="page"/>
      </w:r>
    </w:p>
    <w:p>
      <w:pPr>
        <w:pStyle w:val="6"/>
        <w:spacing w:before="120" w:beforeLines="50" w:after="120" w:afterLines="50" w:line="560" w:lineRule="exact"/>
        <w:rPr>
          <w:rFonts w:hint="default"/>
          <w:b w:val="0"/>
        </w:rPr>
      </w:pPr>
      <w:bookmarkStart w:id="455" w:name="_Toc17638"/>
      <w:bookmarkStart w:id="456" w:name="_Toc112768471"/>
      <w:bookmarkStart w:id="457" w:name="_Toc8732"/>
      <w:bookmarkStart w:id="458" w:name="_Toc30559"/>
      <w:bookmarkStart w:id="459" w:name="_Toc30639"/>
      <w:bookmarkStart w:id="460" w:name="_Toc4760"/>
      <w:r>
        <w:rPr>
          <w:b w:val="0"/>
        </w:rPr>
        <w:t>※附件2-10 技术方案和所谈判产品技术支持</w:t>
      </w:r>
      <w:bookmarkEnd w:id="455"/>
      <w:bookmarkEnd w:id="456"/>
      <w:bookmarkEnd w:id="457"/>
      <w:bookmarkEnd w:id="458"/>
      <w:bookmarkEnd w:id="459"/>
      <w:r>
        <w:rPr>
          <w:b w:val="0"/>
        </w:rPr>
        <w:t>材料</w:t>
      </w:r>
      <w:bookmarkEnd w:id="460"/>
    </w:p>
    <w:p>
      <w:pPr>
        <w:spacing w:before="120" w:beforeLines="50" w:after="120" w:afterLines="50" w:line="560" w:lineRule="exact"/>
        <w:jc w:val="center"/>
        <w:rPr>
          <w:rFonts w:ascii="黑体" w:hAnsi="黑体" w:eastAsia="黑体" w:cs="黑体"/>
          <w:bCs/>
          <w:sz w:val="36"/>
          <w:szCs w:val="36"/>
          <w:lang w:val="zh-CN"/>
        </w:rPr>
      </w:pPr>
      <w:bookmarkStart w:id="461" w:name="_Toc285612608"/>
      <w:r>
        <w:rPr>
          <w:rFonts w:hint="eastAsia" w:ascii="黑体" w:hAnsi="黑体" w:eastAsia="黑体" w:cs="黑体"/>
          <w:bCs/>
          <w:sz w:val="36"/>
          <w:szCs w:val="36"/>
          <w:lang w:val="zh-CN"/>
        </w:rPr>
        <w:t>技术方案</w:t>
      </w:r>
      <w:bookmarkEnd w:id="461"/>
      <w:r>
        <w:rPr>
          <w:rFonts w:hint="eastAsia" w:ascii="黑体" w:hAnsi="黑体" w:eastAsia="黑体" w:cs="黑体"/>
          <w:bCs/>
          <w:sz w:val="36"/>
          <w:szCs w:val="36"/>
          <w:lang w:val="zh-CN"/>
        </w:rPr>
        <w:t>和所谈判产品技术支持材料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rPr>
          <w:bCs/>
          <w:lang w:val="zh-CN"/>
        </w:rPr>
      </w:pPr>
    </w:p>
    <w:p>
      <w:pPr>
        <w:rPr>
          <w:rFonts w:ascii="宋体" w:hAnsi="宋体"/>
        </w:rPr>
      </w:pPr>
      <w:r>
        <w:rPr>
          <w:lang w:val="zh-CN"/>
        </w:rPr>
        <w:br w:type="page"/>
      </w:r>
      <w:bookmarkStart w:id="462" w:name="_Toc28888"/>
      <w:bookmarkStart w:id="463" w:name="_Toc112768474"/>
      <w:bookmarkStart w:id="464" w:name="_Toc23524"/>
      <w:bookmarkStart w:id="465" w:name="_Toc23429"/>
      <w:bookmarkStart w:id="466" w:name="_Toc2756"/>
      <w:bookmarkStart w:id="467" w:name="_Toc12108"/>
      <w:r>
        <w:rPr>
          <w:rFonts w:hint="eastAsia"/>
        </w:rPr>
        <w:t>※附件</w:t>
      </w:r>
      <w:r>
        <w:t>2-1</w:t>
      </w:r>
      <w:r>
        <w:rPr>
          <w:rFonts w:hint="eastAsia"/>
        </w:rPr>
        <w:t>1 技术力量清单及证明材料</w:t>
      </w:r>
      <w:bookmarkEnd w:id="462"/>
      <w:bookmarkEnd w:id="463"/>
      <w:bookmarkEnd w:id="464"/>
      <w:bookmarkEnd w:id="465"/>
      <w:bookmarkEnd w:id="466"/>
      <w:bookmarkEnd w:id="467"/>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技术力量清单及证明材料</w:t>
      </w:r>
    </w:p>
    <w:p>
      <w:pPr>
        <w:spacing w:line="560" w:lineRule="exact"/>
        <w:ind w:firstLine="560" w:firstLineChars="200"/>
        <w:jc w:val="left"/>
        <w:rPr>
          <w:rFonts w:ascii="宋体" w:hAnsi="宋体" w:cs="宋体"/>
          <w:bCs/>
          <w:sz w:val="28"/>
          <w:szCs w:val="28"/>
          <w:lang w:val="zh-CN"/>
        </w:rPr>
      </w:pPr>
      <w:r>
        <w:rPr>
          <w:rFonts w:hint="eastAsia" w:ascii="宋体" w:hAnsi="宋体" w:cs="宋体"/>
          <w:bCs/>
          <w:sz w:val="28"/>
          <w:szCs w:val="28"/>
          <w:lang w:val="zh-CN"/>
        </w:rPr>
        <w:t>（由报价供应商根据项目需求及技术评审标准表中“技术力量”评审标准自行拟定，并后附</w:t>
      </w:r>
      <w:r>
        <w:rPr>
          <w:rFonts w:hint="eastAsia"/>
          <w:bCs/>
          <w:sz w:val="28"/>
          <w:szCs w:val="28"/>
          <w:lang w:val="zh-CN"/>
        </w:rPr>
        <w:t>评审标准要求的</w:t>
      </w:r>
      <w:r>
        <w:rPr>
          <w:rFonts w:hint="eastAsia" w:ascii="宋体" w:hAnsi="宋体" w:cs="宋体"/>
          <w:bCs/>
          <w:sz w:val="28"/>
          <w:szCs w:val="28"/>
          <w:lang w:val="zh-CN"/>
        </w:rPr>
        <w:t>证明</w:t>
      </w:r>
      <w:r>
        <w:rPr>
          <w:rFonts w:hint="eastAsia" w:ascii="宋体" w:hAnsi="宋体"/>
          <w:bCs/>
          <w:sz w:val="28"/>
          <w:szCs w:val="28"/>
        </w:rPr>
        <w:t>材料。</w:t>
      </w:r>
      <w:r>
        <w:rPr>
          <w:rFonts w:hint="eastAsia" w:ascii="宋体" w:hAnsi="宋体" w:cs="宋体"/>
          <w:bCs/>
          <w:sz w:val="28"/>
          <w:szCs w:val="28"/>
          <w:lang w:val="zh-CN"/>
        </w:rPr>
        <w:t>）</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p>
    <w:p>
      <w:pPr>
        <w:ind w:firstLine="560" w:firstLineChars="200"/>
        <w:jc w:val="center"/>
        <w:rPr>
          <w:bCs/>
          <w:sz w:val="36"/>
          <w:szCs w:val="36"/>
        </w:rPr>
      </w:pPr>
      <w:r>
        <w:rPr>
          <w:bCs/>
          <w:snapToGrid w:val="0"/>
          <w:sz w:val="28"/>
          <w:szCs w:val="28"/>
          <w:lang w:val="zh-CN"/>
        </w:rPr>
        <w:br w:type="page"/>
      </w:r>
    </w:p>
    <w:bookmarkEnd w:id="443"/>
    <w:bookmarkEnd w:id="444"/>
    <w:bookmarkEnd w:id="445"/>
    <w:bookmarkEnd w:id="446"/>
    <w:bookmarkEnd w:id="447"/>
    <w:bookmarkEnd w:id="448"/>
    <w:p>
      <w:pPr>
        <w:pStyle w:val="6"/>
        <w:spacing w:after="280" w:line="560" w:lineRule="exact"/>
        <w:rPr>
          <w:rFonts w:hint="default"/>
          <w:b w:val="0"/>
        </w:rPr>
      </w:pPr>
      <w:bookmarkStart w:id="468" w:name="_Toc112768473"/>
      <w:bookmarkStart w:id="469" w:name="_Toc9771"/>
      <w:bookmarkStart w:id="470" w:name="_Toc30176"/>
      <w:bookmarkStart w:id="471" w:name="_Toc3375"/>
      <w:bookmarkStart w:id="472" w:name="_Toc3611"/>
      <w:bookmarkStart w:id="473" w:name="_Toc5020"/>
      <w:bookmarkStart w:id="474" w:name="_Toc112768476"/>
      <w:bookmarkStart w:id="475" w:name="_Toc1308"/>
      <w:bookmarkStart w:id="476" w:name="_Toc28077"/>
      <w:bookmarkStart w:id="477" w:name="_Toc12980"/>
      <w:bookmarkStart w:id="478" w:name="_Toc28279"/>
      <w:bookmarkStart w:id="479" w:name="_Toc2438"/>
      <w:r>
        <w:rPr>
          <w:b w:val="0"/>
        </w:rPr>
        <w:t>附件2-12</w:t>
      </w:r>
      <w:bookmarkEnd w:id="468"/>
      <w:bookmarkEnd w:id="469"/>
      <w:bookmarkEnd w:id="470"/>
      <w:bookmarkEnd w:id="471"/>
      <w:bookmarkEnd w:id="472"/>
      <w:bookmarkEnd w:id="473"/>
      <w:r>
        <w:rPr>
          <w:b w:val="0"/>
        </w:rPr>
        <w:t xml:space="preserve"> 商务评审表要求的内容</w:t>
      </w:r>
    </w:p>
    <w:p>
      <w:pPr>
        <w:spacing w:before="120" w:beforeLines="50" w:after="120" w:afterLines="50" w:line="560" w:lineRule="exact"/>
        <w:jc w:val="center"/>
        <w:outlineLvl w:val="4"/>
        <w:rPr>
          <w:rFonts w:ascii="黑体" w:hAnsi="黑体" w:eastAsia="黑体" w:cs="黑体"/>
          <w:bCs/>
          <w:sz w:val="36"/>
          <w:szCs w:val="36"/>
          <w:lang w:val="zh-CN"/>
        </w:rPr>
      </w:pPr>
      <w:r>
        <w:rPr>
          <w:rFonts w:hint="eastAsia" w:ascii="黑体" w:hAnsi="黑体" w:eastAsia="黑体" w:cs="黑体"/>
          <w:bCs/>
          <w:sz w:val="36"/>
          <w:szCs w:val="36"/>
        </w:rPr>
        <w:t>1.</w:t>
      </w:r>
      <w:r>
        <w:rPr>
          <w:rFonts w:hint="eastAsia" w:ascii="黑体" w:hAnsi="黑体" w:eastAsia="黑体" w:cs="黑体"/>
          <w:bCs/>
          <w:sz w:val="36"/>
          <w:szCs w:val="36"/>
          <w:lang w:val="zh-CN"/>
        </w:rPr>
        <w:t>同类项目业绩</w:t>
      </w:r>
    </w:p>
    <w:p>
      <w:pPr>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762"/>
        <w:gridCol w:w="802"/>
        <w:gridCol w:w="2138"/>
        <w:gridCol w:w="1548"/>
        <w:gridCol w:w="756"/>
        <w:gridCol w:w="1483"/>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exac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用户名称</w:t>
            </w: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项目名称</w:t>
            </w: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项目内容</w:t>
            </w:r>
          </w:p>
        </w:tc>
        <w:tc>
          <w:tcPr>
            <w:tcW w:w="80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合同有效金额（万元）</w:t>
            </w:r>
          </w:p>
        </w:tc>
        <w:tc>
          <w:tcPr>
            <w:tcW w:w="39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签订日期</w:t>
            </w: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用户联系人及电话</w:t>
            </w:r>
          </w:p>
        </w:tc>
        <w:tc>
          <w:tcPr>
            <w:tcW w:w="6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pPr>
              <w:rPr>
                <w:bCs/>
                <w:sz w:val="24"/>
              </w:rPr>
            </w:pPr>
          </w:p>
        </w:tc>
        <w:tc>
          <w:tcPr>
            <w:tcW w:w="398" w:type="pct"/>
            <w:tcBorders>
              <w:top w:val="single" w:color="auto" w:sz="4" w:space="0"/>
              <w:left w:val="single" w:color="auto" w:sz="4" w:space="0"/>
              <w:bottom w:val="single" w:color="auto" w:sz="4" w:space="0"/>
              <w:right w:val="single" w:color="auto" w:sz="4" w:space="0"/>
            </w:tcBorders>
          </w:tcPr>
          <w:p>
            <w:pPr>
              <w:rPr>
                <w:bCs/>
                <w:sz w:val="24"/>
              </w:rPr>
            </w:pPr>
          </w:p>
        </w:tc>
        <w:tc>
          <w:tcPr>
            <w:tcW w:w="419" w:type="pct"/>
            <w:tcBorders>
              <w:top w:val="single" w:color="auto" w:sz="4" w:space="0"/>
              <w:left w:val="single" w:color="auto" w:sz="4" w:space="0"/>
              <w:bottom w:val="single" w:color="auto" w:sz="4" w:space="0"/>
              <w:right w:val="single" w:color="auto" w:sz="4" w:space="0"/>
            </w:tcBorders>
          </w:tcPr>
          <w:p>
            <w:pPr>
              <w:rPr>
                <w:bCs/>
                <w:sz w:val="24"/>
              </w:rPr>
            </w:pPr>
          </w:p>
        </w:tc>
        <w:tc>
          <w:tcPr>
            <w:tcW w:w="1117" w:type="pct"/>
            <w:tcBorders>
              <w:top w:val="single" w:color="auto" w:sz="4" w:space="0"/>
              <w:left w:val="single" w:color="auto" w:sz="4" w:space="0"/>
              <w:bottom w:val="single" w:color="auto" w:sz="4" w:space="0"/>
              <w:right w:val="single" w:color="auto" w:sz="4" w:space="0"/>
            </w:tcBorders>
          </w:tcPr>
          <w:p>
            <w:pPr>
              <w:rPr>
                <w:bCs/>
                <w:sz w:val="24"/>
              </w:rPr>
            </w:pPr>
          </w:p>
        </w:tc>
        <w:tc>
          <w:tcPr>
            <w:tcW w:w="809" w:type="pct"/>
            <w:tcBorders>
              <w:top w:val="single" w:color="auto" w:sz="4" w:space="0"/>
              <w:left w:val="single" w:color="auto" w:sz="4" w:space="0"/>
              <w:bottom w:val="single" w:color="auto" w:sz="4" w:space="0"/>
              <w:right w:val="single" w:color="auto" w:sz="4" w:space="0"/>
            </w:tcBorders>
          </w:tcPr>
          <w:p>
            <w:pPr>
              <w:rPr>
                <w:bCs/>
                <w:sz w:val="24"/>
              </w:rPr>
            </w:pPr>
          </w:p>
        </w:tc>
        <w:tc>
          <w:tcPr>
            <w:tcW w:w="395" w:type="pct"/>
            <w:tcBorders>
              <w:top w:val="single" w:color="auto" w:sz="4" w:space="0"/>
              <w:left w:val="single" w:color="auto" w:sz="4" w:space="0"/>
              <w:bottom w:val="single" w:color="auto" w:sz="4" w:space="0"/>
              <w:right w:val="single" w:color="auto" w:sz="4" w:space="0"/>
            </w:tcBorders>
          </w:tcPr>
          <w:p>
            <w:pPr>
              <w:rPr>
                <w:bCs/>
                <w:sz w:val="24"/>
              </w:rPr>
            </w:pPr>
          </w:p>
        </w:tc>
        <w:tc>
          <w:tcPr>
            <w:tcW w:w="775" w:type="pct"/>
            <w:tcBorders>
              <w:top w:val="single" w:color="auto" w:sz="4" w:space="0"/>
              <w:left w:val="single" w:color="auto" w:sz="4" w:space="0"/>
              <w:bottom w:val="single" w:color="auto" w:sz="4" w:space="0"/>
              <w:right w:val="single" w:color="auto" w:sz="4" w:space="0"/>
            </w:tcBorders>
          </w:tcPr>
          <w:p>
            <w:pPr>
              <w:rPr>
                <w:bCs/>
                <w:sz w:val="24"/>
              </w:rPr>
            </w:pPr>
          </w:p>
        </w:tc>
        <w:tc>
          <w:tcPr>
            <w:tcW w:w="663" w:type="pct"/>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pPr>
              <w:rPr>
                <w:bCs/>
                <w:sz w:val="24"/>
              </w:rPr>
            </w:pPr>
          </w:p>
        </w:tc>
        <w:tc>
          <w:tcPr>
            <w:tcW w:w="398" w:type="pct"/>
            <w:tcBorders>
              <w:top w:val="single" w:color="auto" w:sz="4" w:space="0"/>
              <w:left w:val="single" w:color="auto" w:sz="4" w:space="0"/>
              <w:bottom w:val="single" w:color="auto" w:sz="4" w:space="0"/>
              <w:right w:val="single" w:color="auto" w:sz="4" w:space="0"/>
            </w:tcBorders>
          </w:tcPr>
          <w:p>
            <w:pPr>
              <w:rPr>
                <w:bCs/>
                <w:sz w:val="24"/>
              </w:rPr>
            </w:pPr>
          </w:p>
        </w:tc>
        <w:tc>
          <w:tcPr>
            <w:tcW w:w="419" w:type="pct"/>
            <w:tcBorders>
              <w:top w:val="single" w:color="auto" w:sz="4" w:space="0"/>
              <w:left w:val="single" w:color="auto" w:sz="4" w:space="0"/>
              <w:bottom w:val="single" w:color="auto" w:sz="4" w:space="0"/>
              <w:right w:val="single" w:color="auto" w:sz="4" w:space="0"/>
            </w:tcBorders>
          </w:tcPr>
          <w:p>
            <w:pPr>
              <w:rPr>
                <w:bCs/>
                <w:sz w:val="24"/>
              </w:rPr>
            </w:pPr>
          </w:p>
        </w:tc>
        <w:tc>
          <w:tcPr>
            <w:tcW w:w="1117" w:type="pct"/>
            <w:tcBorders>
              <w:top w:val="single" w:color="auto" w:sz="4" w:space="0"/>
              <w:left w:val="single" w:color="auto" w:sz="4" w:space="0"/>
              <w:bottom w:val="single" w:color="auto" w:sz="4" w:space="0"/>
              <w:right w:val="single" w:color="auto" w:sz="4" w:space="0"/>
            </w:tcBorders>
          </w:tcPr>
          <w:p>
            <w:pPr>
              <w:rPr>
                <w:bCs/>
                <w:sz w:val="24"/>
              </w:rPr>
            </w:pPr>
          </w:p>
        </w:tc>
        <w:tc>
          <w:tcPr>
            <w:tcW w:w="809" w:type="pct"/>
            <w:tcBorders>
              <w:top w:val="single" w:color="auto" w:sz="4" w:space="0"/>
              <w:left w:val="single" w:color="auto" w:sz="4" w:space="0"/>
              <w:bottom w:val="single" w:color="auto" w:sz="4" w:space="0"/>
              <w:right w:val="single" w:color="auto" w:sz="4" w:space="0"/>
            </w:tcBorders>
          </w:tcPr>
          <w:p>
            <w:pPr>
              <w:rPr>
                <w:bCs/>
                <w:sz w:val="24"/>
              </w:rPr>
            </w:pPr>
          </w:p>
        </w:tc>
        <w:tc>
          <w:tcPr>
            <w:tcW w:w="395" w:type="pct"/>
            <w:tcBorders>
              <w:top w:val="single" w:color="auto" w:sz="4" w:space="0"/>
              <w:left w:val="single" w:color="auto" w:sz="4" w:space="0"/>
              <w:bottom w:val="single" w:color="auto" w:sz="4" w:space="0"/>
              <w:right w:val="single" w:color="auto" w:sz="4" w:space="0"/>
            </w:tcBorders>
          </w:tcPr>
          <w:p>
            <w:pPr>
              <w:rPr>
                <w:bCs/>
                <w:sz w:val="24"/>
              </w:rPr>
            </w:pPr>
          </w:p>
        </w:tc>
        <w:tc>
          <w:tcPr>
            <w:tcW w:w="775" w:type="pct"/>
            <w:tcBorders>
              <w:top w:val="single" w:color="auto" w:sz="4" w:space="0"/>
              <w:left w:val="single" w:color="auto" w:sz="4" w:space="0"/>
              <w:bottom w:val="single" w:color="auto" w:sz="4" w:space="0"/>
              <w:right w:val="single" w:color="auto" w:sz="4" w:space="0"/>
            </w:tcBorders>
          </w:tcPr>
          <w:p>
            <w:pPr>
              <w:rPr>
                <w:bCs/>
                <w:sz w:val="24"/>
              </w:rPr>
            </w:pPr>
          </w:p>
        </w:tc>
        <w:tc>
          <w:tcPr>
            <w:tcW w:w="663" w:type="pct"/>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tcPr>
          <w:p>
            <w:pPr>
              <w:rPr>
                <w:bCs/>
                <w:sz w:val="24"/>
              </w:rPr>
            </w:pPr>
          </w:p>
        </w:tc>
        <w:tc>
          <w:tcPr>
            <w:tcW w:w="398" w:type="pct"/>
            <w:tcBorders>
              <w:top w:val="single" w:color="auto" w:sz="4" w:space="0"/>
              <w:left w:val="single" w:color="auto" w:sz="4" w:space="0"/>
              <w:bottom w:val="single" w:color="auto" w:sz="4" w:space="0"/>
              <w:right w:val="single" w:color="auto" w:sz="4" w:space="0"/>
            </w:tcBorders>
          </w:tcPr>
          <w:p>
            <w:pPr>
              <w:rPr>
                <w:bCs/>
                <w:sz w:val="24"/>
              </w:rPr>
            </w:pPr>
          </w:p>
        </w:tc>
        <w:tc>
          <w:tcPr>
            <w:tcW w:w="419" w:type="pct"/>
            <w:tcBorders>
              <w:top w:val="single" w:color="auto" w:sz="4" w:space="0"/>
              <w:left w:val="single" w:color="auto" w:sz="4" w:space="0"/>
              <w:bottom w:val="single" w:color="auto" w:sz="4" w:space="0"/>
              <w:right w:val="single" w:color="auto" w:sz="4" w:space="0"/>
            </w:tcBorders>
          </w:tcPr>
          <w:p>
            <w:pPr>
              <w:rPr>
                <w:bCs/>
                <w:sz w:val="24"/>
              </w:rPr>
            </w:pPr>
          </w:p>
        </w:tc>
        <w:tc>
          <w:tcPr>
            <w:tcW w:w="1117" w:type="pct"/>
            <w:tcBorders>
              <w:top w:val="single" w:color="auto" w:sz="4" w:space="0"/>
              <w:left w:val="single" w:color="auto" w:sz="4" w:space="0"/>
              <w:bottom w:val="single" w:color="auto" w:sz="4" w:space="0"/>
              <w:right w:val="single" w:color="auto" w:sz="4" w:space="0"/>
            </w:tcBorders>
          </w:tcPr>
          <w:p>
            <w:pPr>
              <w:rPr>
                <w:bCs/>
                <w:sz w:val="24"/>
              </w:rPr>
            </w:pPr>
          </w:p>
        </w:tc>
        <w:tc>
          <w:tcPr>
            <w:tcW w:w="809" w:type="pct"/>
            <w:tcBorders>
              <w:top w:val="single" w:color="auto" w:sz="4" w:space="0"/>
              <w:left w:val="single" w:color="auto" w:sz="4" w:space="0"/>
              <w:bottom w:val="single" w:color="auto" w:sz="4" w:space="0"/>
              <w:right w:val="single" w:color="auto" w:sz="4" w:space="0"/>
            </w:tcBorders>
          </w:tcPr>
          <w:p>
            <w:pPr>
              <w:rPr>
                <w:bCs/>
                <w:sz w:val="24"/>
              </w:rPr>
            </w:pPr>
          </w:p>
        </w:tc>
        <w:tc>
          <w:tcPr>
            <w:tcW w:w="395" w:type="pct"/>
            <w:tcBorders>
              <w:top w:val="single" w:color="auto" w:sz="4" w:space="0"/>
              <w:left w:val="single" w:color="auto" w:sz="4" w:space="0"/>
              <w:bottom w:val="single" w:color="auto" w:sz="4" w:space="0"/>
              <w:right w:val="single" w:color="auto" w:sz="4" w:space="0"/>
            </w:tcBorders>
          </w:tcPr>
          <w:p>
            <w:pPr>
              <w:rPr>
                <w:bCs/>
                <w:sz w:val="24"/>
              </w:rPr>
            </w:pPr>
          </w:p>
        </w:tc>
        <w:tc>
          <w:tcPr>
            <w:tcW w:w="775" w:type="pct"/>
            <w:tcBorders>
              <w:top w:val="single" w:color="auto" w:sz="4" w:space="0"/>
              <w:left w:val="single" w:color="auto" w:sz="4" w:space="0"/>
              <w:bottom w:val="single" w:color="auto" w:sz="4" w:space="0"/>
              <w:right w:val="single" w:color="auto" w:sz="4" w:space="0"/>
            </w:tcBorders>
          </w:tcPr>
          <w:p>
            <w:pPr>
              <w:rPr>
                <w:bCs/>
                <w:sz w:val="24"/>
              </w:rPr>
            </w:pPr>
          </w:p>
        </w:tc>
        <w:tc>
          <w:tcPr>
            <w:tcW w:w="663" w:type="pct"/>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exact"/>
        </w:trPr>
        <w:tc>
          <w:tcPr>
            <w:tcW w:w="42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合计</w:t>
            </w:r>
          </w:p>
        </w:tc>
        <w:tc>
          <w:tcPr>
            <w:tcW w:w="398"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41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11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80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9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77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663"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9" w:hRule="exact"/>
        </w:trPr>
        <w:tc>
          <w:tcPr>
            <w:tcW w:w="1" w:type="pct"/>
            <w:gridSpan w:val="8"/>
            <w:tcBorders>
              <w:top w:val="single" w:color="auto" w:sz="4" w:space="0"/>
              <w:left w:val="single" w:color="auto" w:sz="4" w:space="0"/>
              <w:bottom w:val="single" w:color="auto" w:sz="4" w:space="0"/>
              <w:right w:val="single" w:color="auto" w:sz="4" w:space="0"/>
            </w:tcBorders>
            <w:vAlign w:val="center"/>
          </w:tcPr>
          <w:p>
            <w:pPr>
              <w:widowControl/>
              <w:spacing w:line="276" w:lineRule="auto"/>
              <w:jc w:val="left"/>
              <w:rPr>
                <w:rFonts w:ascii="宋体" w:hAnsi="宋体"/>
                <w:bCs/>
                <w:sz w:val="24"/>
              </w:rPr>
            </w:pPr>
            <w:r>
              <w:rPr>
                <w:rFonts w:ascii="宋体" w:hAnsi="宋体"/>
                <w:bCs/>
                <w:sz w:val="24"/>
              </w:rPr>
              <w:t>备注：</w:t>
            </w:r>
          </w:p>
          <w:p>
            <w:pPr>
              <w:widowControl/>
              <w:spacing w:line="276" w:lineRule="auto"/>
              <w:ind w:firstLine="480" w:firstLineChars="200"/>
              <w:jc w:val="left"/>
              <w:rPr>
                <w:rFonts w:ascii="宋体" w:hAnsi="宋体" w:cs="宋体"/>
                <w:bCs/>
                <w:sz w:val="24"/>
              </w:rPr>
            </w:pPr>
            <w:r>
              <w:rPr>
                <w:rFonts w:ascii="宋体" w:hAnsi="宋体" w:cs="宋体"/>
                <w:bCs/>
                <w:sz w:val="24"/>
              </w:rPr>
              <w:t>1.同类项目指本次</w:t>
            </w:r>
            <w:r>
              <w:rPr>
                <w:rFonts w:hint="eastAsia" w:ascii="宋体" w:hAnsi="宋体" w:cs="宋体"/>
                <w:bCs/>
                <w:sz w:val="24"/>
              </w:rPr>
              <w:t>谈判</w:t>
            </w:r>
            <w:r>
              <w:rPr>
                <w:rFonts w:ascii="宋体" w:hAnsi="宋体" w:cs="宋体"/>
                <w:bCs/>
                <w:sz w:val="24"/>
              </w:rPr>
              <w:t>的产品或同类产品</w:t>
            </w:r>
            <w:r>
              <w:rPr>
                <w:rFonts w:hint="eastAsia" w:ascii="宋体" w:hAnsi="宋体"/>
                <w:bCs/>
                <w:sz w:val="28"/>
                <w:szCs w:val="28"/>
              </w:rPr>
              <w:t>，</w:t>
            </w:r>
            <w:r>
              <w:rPr>
                <w:rFonts w:ascii="宋体" w:hAnsi="宋体" w:cs="宋体"/>
                <w:bCs/>
                <w:sz w:val="24"/>
              </w:rPr>
              <w:t>具体在评审标准中明确范围。合同有效金额是指合同中本次</w:t>
            </w:r>
            <w:r>
              <w:rPr>
                <w:rFonts w:hint="eastAsia" w:ascii="宋体" w:hAnsi="宋体" w:cs="宋体"/>
                <w:bCs/>
                <w:sz w:val="24"/>
              </w:rPr>
              <w:t>谈判</w:t>
            </w:r>
            <w:r>
              <w:rPr>
                <w:rFonts w:ascii="宋体" w:hAnsi="宋体" w:cs="宋体"/>
                <w:bCs/>
                <w:sz w:val="24"/>
              </w:rPr>
              <w:t>的</w:t>
            </w:r>
            <w:r>
              <w:rPr>
                <w:rFonts w:hint="eastAsia" w:ascii="宋体" w:hAnsi="宋体" w:cs="宋体"/>
                <w:bCs/>
                <w:sz w:val="24"/>
              </w:rPr>
              <w:t>相同</w:t>
            </w:r>
            <w:r>
              <w:rPr>
                <w:rFonts w:ascii="宋体" w:hAnsi="宋体" w:cs="宋体"/>
                <w:bCs/>
                <w:sz w:val="24"/>
              </w:rPr>
              <w:t>产品或同类产品金额。</w:t>
            </w:r>
            <w:r>
              <w:rPr>
                <w:rFonts w:hint="eastAsia" w:ascii="黑体" w:hAnsi="黑体" w:eastAsia="黑体" w:cs="宋体"/>
                <w:sz w:val="24"/>
              </w:rPr>
              <w:t>该表严格按照《商务评审标准表》明确的相关要求填报。</w:t>
            </w:r>
          </w:p>
          <w:p>
            <w:pPr>
              <w:widowControl/>
              <w:spacing w:line="276" w:lineRule="auto"/>
              <w:ind w:firstLine="480" w:firstLineChars="200"/>
              <w:jc w:val="left"/>
              <w:rPr>
                <w:rFonts w:ascii="宋体" w:hAnsi="宋体" w:cs="宋体"/>
                <w:bCs/>
                <w:sz w:val="24"/>
              </w:rPr>
            </w:pPr>
            <w:r>
              <w:rPr>
                <w:rFonts w:ascii="宋体" w:hAnsi="宋体" w:cs="宋体"/>
                <w:bCs/>
                <w:sz w:val="24"/>
              </w:rPr>
              <w:t>2.</w:t>
            </w:r>
            <w:r>
              <w:rPr>
                <w:rFonts w:hint="eastAsia"/>
                <w:bCs/>
                <w:sz w:val="24"/>
              </w:rPr>
              <w:t>项目内容包括同类项目，产品名称、型号等。</w:t>
            </w:r>
          </w:p>
          <w:p>
            <w:pPr>
              <w:widowControl/>
              <w:spacing w:line="276" w:lineRule="auto"/>
              <w:ind w:firstLine="480" w:firstLineChars="200"/>
              <w:jc w:val="left"/>
              <w:rPr>
                <w:rFonts w:ascii="宋体" w:hAnsi="宋体" w:cs="宋体"/>
                <w:bCs/>
                <w:sz w:val="24"/>
              </w:rPr>
            </w:pPr>
            <w:r>
              <w:rPr>
                <w:rFonts w:ascii="宋体" w:hAnsi="宋体" w:cs="宋体"/>
                <w:bCs/>
                <w:sz w:val="24"/>
              </w:rPr>
              <w:t>3.“页码”栏中填写</w:t>
            </w:r>
            <w:r>
              <w:rPr>
                <w:rFonts w:hint="eastAsia" w:ascii="宋体" w:hAnsi="宋体" w:cs="宋体"/>
                <w:bCs/>
                <w:sz w:val="24"/>
              </w:rPr>
              <w:t>业绩材料</w:t>
            </w:r>
            <w:r>
              <w:rPr>
                <w:rFonts w:ascii="宋体" w:hAnsi="宋体" w:cs="宋体"/>
                <w:bCs/>
                <w:sz w:val="24"/>
              </w:rPr>
              <w:t>所在“商务技术文件”中的页码位置。</w:t>
            </w:r>
          </w:p>
          <w:p>
            <w:pPr>
              <w:widowControl/>
              <w:spacing w:line="276" w:lineRule="auto"/>
              <w:ind w:firstLine="480" w:firstLineChars="200"/>
              <w:jc w:val="left"/>
              <w:rPr>
                <w:rFonts w:ascii="宋体" w:hAnsi="宋体" w:cs="宋体"/>
                <w:bCs/>
                <w:sz w:val="24"/>
              </w:rPr>
            </w:pPr>
            <w:r>
              <w:rPr>
                <w:rFonts w:ascii="宋体" w:hAnsi="宋体" w:cs="宋体"/>
                <w:bCs/>
                <w:sz w:val="24"/>
              </w:rPr>
              <w:t>4.</w:t>
            </w:r>
            <w:r>
              <w:rPr>
                <w:rFonts w:hint="eastAsia" w:ascii="宋体" w:hAnsi="宋体" w:cs="宋体"/>
                <w:bCs/>
                <w:sz w:val="24"/>
              </w:rPr>
              <w:t>合同缔约方存在控股或管理关系的，该合同无效。</w:t>
            </w:r>
          </w:p>
          <w:p>
            <w:pPr>
              <w:widowControl/>
              <w:spacing w:line="276" w:lineRule="auto"/>
              <w:ind w:firstLine="480" w:firstLineChars="200"/>
              <w:jc w:val="left"/>
              <w:rPr>
                <w:rFonts w:ascii="宋体" w:hAnsi="宋体" w:cs="宋体"/>
                <w:bCs/>
                <w:sz w:val="24"/>
              </w:rPr>
            </w:pPr>
            <w:r>
              <w:rPr>
                <w:rFonts w:ascii="宋体" w:hAnsi="宋体" w:cs="宋体"/>
                <w:bCs/>
                <w:sz w:val="24"/>
              </w:rPr>
              <w:t>5.</w:t>
            </w:r>
            <w:r>
              <w:rPr>
                <w:rFonts w:hint="eastAsia" w:ascii="宋体" w:hAnsi="宋体" w:cs="宋体"/>
                <w:bCs/>
                <w:sz w:val="24"/>
              </w:rPr>
              <w:t>报价</w:t>
            </w:r>
            <w:r>
              <w:rPr>
                <w:rFonts w:ascii="宋体" w:hAnsi="宋体" w:cs="宋体"/>
                <w:bCs/>
                <w:sz w:val="24"/>
              </w:rPr>
              <w:t>供应商提供虚假合同的，按虚假</w:t>
            </w:r>
            <w:r>
              <w:rPr>
                <w:rFonts w:hint="eastAsia" w:ascii="宋体" w:hAnsi="宋体" w:cs="宋体"/>
                <w:bCs/>
                <w:sz w:val="24"/>
              </w:rPr>
              <w:t>报价</w:t>
            </w:r>
            <w:r>
              <w:rPr>
                <w:rFonts w:ascii="宋体" w:hAnsi="宋体" w:cs="宋体"/>
                <w:bCs/>
                <w:sz w:val="24"/>
              </w:rPr>
              <w:t>处理。</w:t>
            </w:r>
          </w:p>
          <w:p>
            <w:pPr>
              <w:widowControl/>
              <w:spacing w:line="276" w:lineRule="auto"/>
              <w:ind w:firstLine="480" w:firstLineChars="200"/>
              <w:jc w:val="left"/>
              <w:rPr>
                <w:rFonts w:ascii="宋体" w:hAnsi="宋体"/>
                <w:bCs/>
                <w:sz w:val="24"/>
              </w:rPr>
            </w:pPr>
            <w:r>
              <w:rPr>
                <w:rFonts w:ascii="宋体" w:hAnsi="宋体" w:cs="宋体"/>
                <w:bCs/>
                <w:sz w:val="24"/>
              </w:rPr>
              <w:t>6</w:t>
            </w:r>
            <w:r>
              <w:rPr>
                <w:rFonts w:hint="eastAsia" w:ascii="宋体" w:hAnsi="宋体" w:cs="宋体"/>
                <w:bCs/>
                <w:sz w:val="24"/>
              </w:rPr>
              <w:t>.合同中涉及</w:t>
            </w:r>
            <w:r>
              <w:rPr>
                <w:rFonts w:ascii="宋体" w:hAnsi="宋体" w:cs="宋体"/>
                <w:bCs/>
                <w:sz w:val="24"/>
              </w:rPr>
              <w:t>总价、单价</w:t>
            </w:r>
            <w:r>
              <w:rPr>
                <w:rFonts w:hint="eastAsia" w:ascii="宋体" w:hAnsi="宋体" w:cs="宋体"/>
                <w:bCs/>
                <w:sz w:val="24"/>
              </w:rPr>
              <w:t>、</w:t>
            </w:r>
            <w:r>
              <w:rPr>
                <w:rFonts w:ascii="宋体" w:hAnsi="宋体" w:cs="宋体"/>
                <w:bCs/>
                <w:sz w:val="24"/>
              </w:rPr>
              <w:t>规格、</w:t>
            </w:r>
            <w:r>
              <w:rPr>
                <w:rFonts w:hint="eastAsia" w:ascii="宋体" w:hAnsi="宋体" w:cs="宋体"/>
                <w:bCs/>
                <w:sz w:val="24"/>
              </w:rPr>
              <w:t>缔约方</w:t>
            </w:r>
            <w:r>
              <w:rPr>
                <w:rFonts w:ascii="宋体" w:hAnsi="宋体" w:cs="宋体"/>
                <w:bCs/>
                <w:sz w:val="24"/>
              </w:rPr>
              <w:t>签字盖章</w:t>
            </w:r>
            <w:r>
              <w:rPr>
                <w:rFonts w:hint="eastAsia" w:ascii="宋体" w:hAnsi="宋体" w:cs="宋体"/>
                <w:bCs/>
                <w:sz w:val="24"/>
              </w:rPr>
              <w:t>等</w:t>
            </w:r>
            <w:r>
              <w:rPr>
                <w:rFonts w:ascii="宋体" w:hAnsi="宋体" w:cs="宋体"/>
                <w:bCs/>
                <w:sz w:val="24"/>
              </w:rPr>
              <w:t>关键</w:t>
            </w:r>
            <w:r>
              <w:rPr>
                <w:rFonts w:hint="eastAsia" w:ascii="宋体" w:hAnsi="宋体" w:cs="宋体"/>
                <w:bCs/>
                <w:sz w:val="24"/>
              </w:rPr>
              <w:t>信息</w:t>
            </w:r>
            <w:r>
              <w:rPr>
                <w:rFonts w:hint="eastAsia"/>
                <w:sz w:val="24"/>
              </w:rPr>
              <w:t>应当</w:t>
            </w:r>
            <w:r>
              <w:rPr>
                <w:rFonts w:ascii="宋体" w:hAnsi="宋体" w:cs="宋体"/>
                <w:bCs/>
                <w:sz w:val="24"/>
              </w:rPr>
              <w:t>清晰可</w:t>
            </w:r>
            <w:r>
              <w:rPr>
                <w:rFonts w:hint="eastAsia" w:ascii="宋体" w:hAnsi="宋体" w:cs="宋体"/>
                <w:bCs/>
                <w:sz w:val="24"/>
              </w:rPr>
              <w:t>辨</w:t>
            </w:r>
            <w:r>
              <w:rPr>
                <w:rFonts w:ascii="宋体" w:hAnsi="宋体" w:cs="宋体"/>
                <w:bCs/>
                <w:sz w:val="24"/>
              </w:rPr>
              <w:t>，否则视为无效合同</w:t>
            </w:r>
            <w:r>
              <w:rPr>
                <w:rFonts w:hint="eastAsia" w:ascii="宋体" w:hAnsi="宋体" w:cs="宋体"/>
                <w:bCs/>
                <w:sz w:val="24"/>
              </w:rPr>
              <w:t>。</w:t>
            </w:r>
          </w:p>
          <w:p>
            <w:pPr>
              <w:jc w:val="center"/>
              <w:rPr>
                <w:bCs/>
                <w:sz w:val="24"/>
              </w:rPr>
            </w:pPr>
          </w:p>
        </w:tc>
      </w:tr>
    </w:tbl>
    <w:p>
      <w:pPr>
        <w:jc w:val="center"/>
        <w:rPr>
          <w:bCs/>
          <w:sz w:val="28"/>
          <w:szCs w:val="28"/>
          <w:lang w:val="zh-CN"/>
        </w:rPr>
        <w:sectPr>
          <w:pgSz w:w="11906" w:h="16838"/>
          <w:pgMar w:top="1418" w:right="1134" w:bottom="1418" w:left="1418" w:header="851" w:footer="851" w:gutter="0"/>
          <w:cols w:space="720" w:num="1"/>
          <w:docGrid w:linePitch="388" w:charSpace="-1260"/>
        </w:sectPr>
      </w:pPr>
    </w:p>
    <w:p>
      <w:pPr>
        <w:spacing w:before="120" w:beforeLines="50" w:after="120" w:afterLines="50" w:line="560" w:lineRule="exact"/>
        <w:jc w:val="left"/>
        <w:outlineLvl w:val="4"/>
        <w:rPr>
          <w:rFonts w:ascii="黑体" w:hAnsi="黑体" w:eastAsia="黑体" w:cs="黑体"/>
          <w:bCs/>
          <w:sz w:val="36"/>
          <w:szCs w:val="36"/>
        </w:rPr>
      </w:pPr>
      <w:r>
        <w:rPr>
          <w:rFonts w:hint="eastAsia" w:ascii="黑体" w:hAnsi="黑体" w:eastAsia="黑体" w:cs="黑体"/>
          <w:bCs/>
          <w:sz w:val="36"/>
          <w:szCs w:val="36"/>
        </w:rPr>
        <w:t>2.企业规模</w:t>
      </w:r>
    </w:p>
    <w:p>
      <w:pPr>
        <w:adjustRightInd w:val="0"/>
        <w:snapToGrid w:val="0"/>
        <w:spacing w:line="400" w:lineRule="exact"/>
        <w:ind w:firstLine="422"/>
        <w:rPr>
          <w:rFonts w:ascii="宋体" w:hAnsi="宋体" w:cs="宋体"/>
          <w:sz w:val="22"/>
          <w:szCs w:val="22"/>
        </w:rPr>
      </w:pPr>
      <w:r>
        <w:rPr>
          <w:rFonts w:hint="eastAsia"/>
          <w:b/>
          <w:bCs/>
          <w:sz w:val="22"/>
          <w:szCs w:val="22"/>
        </w:rPr>
        <w:t>注：</w:t>
      </w:r>
      <w:r>
        <w:rPr>
          <w:rFonts w:hint="eastAsia" w:ascii="宋体" w:hAnsi="宋体" w:cs="宋体"/>
          <w:sz w:val="22"/>
          <w:szCs w:val="22"/>
        </w:rPr>
        <w:t>报价供应商需按本谈判文件“商务评审标准表”中评审项目</w:t>
      </w:r>
      <w:r>
        <w:rPr>
          <w:rFonts w:hint="eastAsia" w:ascii="宋体" w:hAnsi="宋体" w:cs="宋体"/>
          <w:b/>
          <w:bCs/>
          <w:sz w:val="22"/>
          <w:szCs w:val="22"/>
          <w:u w:val="single"/>
        </w:rPr>
        <w:t>“企业规模”</w:t>
      </w:r>
      <w:r>
        <w:rPr>
          <w:rFonts w:hint="eastAsia" w:ascii="宋体" w:hAnsi="宋体" w:cs="宋体"/>
          <w:sz w:val="22"/>
          <w:szCs w:val="22"/>
        </w:rPr>
        <w:t>中的要求提供相关证明材料。</w:t>
      </w:r>
    </w:p>
    <w:p>
      <w:pPr>
        <w:adjustRightInd w:val="0"/>
        <w:snapToGrid w:val="0"/>
        <w:spacing w:line="400" w:lineRule="exact"/>
        <w:rPr>
          <w:rFonts w:ascii="宋体" w:hAnsi="宋体" w:cs="宋体"/>
          <w:sz w:val="22"/>
          <w:szCs w:val="22"/>
        </w:rPr>
      </w:pPr>
    </w:p>
    <w:p>
      <w:pPr>
        <w:adjustRightInd w:val="0"/>
        <w:snapToGrid w:val="0"/>
        <w:spacing w:line="400" w:lineRule="exact"/>
        <w:ind w:firstLine="422"/>
        <w:rPr>
          <w:b/>
          <w:bCs/>
          <w:sz w:val="22"/>
          <w:szCs w:val="22"/>
        </w:rPr>
      </w:pPr>
    </w:p>
    <w:p>
      <w:pPr>
        <w:spacing w:before="120" w:beforeLines="50" w:after="120" w:afterLines="50" w:line="560" w:lineRule="exact"/>
        <w:jc w:val="left"/>
        <w:outlineLvl w:val="4"/>
        <w:rPr>
          <w:rFonts w:ascii="黑体" w:hAnsi="黑体" w:eastAsia="黑体" w:cs="黑体"/>
          <w:bCs/>
          <w:sz w:val="36"/>
          <w:szCs w:val="36"/>
        </w:rPr>
      </w:pPr>
      <w:bookmarkStart w:id="480" w:name="_Toc18299"/>
      <w:r>
        <w:rPr>
          <w:rFonts w:hint="eastAsia" w:ascii="黑体" w:hAnsi="黑体" w:eastAsia="黑体" w:cs="黑体"/>
          <w:bCs/>
          <w:sz w:val="36"/>
          <w:szCs w:val="36"/>
        </w:rPr>
        <w:t>3.财务状况</w:t>
      </w:r>
    </w:p>
    <w:p>
      <w:pPr>
        <w:spacing w:before="120" w:beforeLines="50" w:after="120" w:afterLines="50" w:line="560" w:lineRule="exact"/>
        <w:ind w:firstLine="442" w:firstLineChars="200"/>
        <w:jc w:val="left"/>
        <w:rPr>
          <w:rFonts w:ascii="宋体" w:hAnsi="宋体" w:cs="宋体"/>
          <w:sz w:val="22"/>
          <w:szCs w:val="22"/>
        </w:rPr>
      </w:pPr>
      <w:r>
        <w:rPr>
          <w:rFonts w:hint="eastAsia"/>
          <w:b/>
          <w:bCs/>
          <w:sz w:val="22"/>
          <w:szCs w:val="22"/>
        </w:rPr>
        <w:t>注：</w:t>
      </w:r>
      <w:r>
        <w:rPr>
          <w:rFonts w:hint="eastAsia" w:ascii="宋体" w:hAnsi="宋体" w:cs="宋体"/>
          <w:sz w:val="22"/>
          <w:szCs w:val="22"/>
        </w:rPr>
        <w:t>报价供应商需按本谈判文件“商务评审标准表”中评审项目</w:t>
      </w:r>
      <w:r>
        <w:rPr>
          <w:rFonts w:hint="eastAsia" w:ascii="宋体" w:hAnsi="宋体" w:cs="宋体"/>
          <w:b/>
          <w:bCs/>
          <w:sz w:val="22"/>
          <w:szCs w:val="22"/>
          <w:u w:val="single"/>
        </w:rPr>
        <w:t>“财务状况”</w:t>
      </w:r>
      <w:r>
        <w:rPr>
          <w:rFonts w:hint="eastAsia" w:ascii="宋体" w:hAnsi="宋体" w:cs="宋体"/>
          <w:sz w:val="22"/>
          <w:szCs w:val="22"/>
        </w:rPr>
        <w:t>中的要求提供相关证明材料。</w:t>
      </w:r>
    </w:p>
    <w:p>
      <w:pPr>
        <w:spacing w:before="120" w:beforeLines="50" w:after="120" w:afterLines="50" w:line="560" w:lineRule="exact"/>
        <w:jc w:val="left"/>
        <w:rPr>
          <w:rFonts w:ascii="黑体" w:hAnsi="黑体" w:eastAsia="黑体" w:cs="黑体"/>
          <w:bCs/>
          <w:sz w:val="36"/>
          <w:szCs w:val="36"/>
        </w:rPr>
      </w:pPr>
    </w:p>
    <w:p>
      <w:pPr>
        <w:spacing w:before="120" w:beforeLines="50" w:after="120" w:afterLines="50" w:line="560" w:lineRule="exact"/>
        <w:jc w:val="left"/>
        <w:outlineLvl w:val="4"/>
        <w:rPr>
          <w:rFonts w:ascii="黑体" w:hAnsi="黑体" w:eastAsia="黑体" w:cs="黑体"/>
          <w:bCs/>
          <w:sz w:val="36"/>
          <w:szCs w:val="36"/>
        </w:rPr>
      </w:pPr>
      <w:r>
        <w:rPr>
          <w:rFonts w:hint="eastAsia" w:ascii="黑体" w:hAnsi="黑体" w:eastAsia="黑体" w:cs="黑体"/>
          <w:bCs/>
          <w:sz w:val="36"/>
          <w:szCs w:val="36"/>
        </w:rPr>
        <w:t>4.</w:t>
      </w:r>
      <w:bookmarkEnd w:id="480"/>
      <w:r>
        <w:rPr>
          <w:rFonts w:hint="eastAsia" w:ascii="黑体" w:hAnsi="黑体" w:eastAsia="黑体" w:cs="黑体"/>
          <w:bCs/>
          <w:sz w:val="36"/>
          <w:szCs w:val="36"/>
        </w:rPr>
        <w:t>信誉</w:t>
      </w:r>
    </w:p>
    <w:p>
      <w:pPr>
        <w:adjustRightInd w:val="0"/>
        <w:snapToGrid w:val="0"/>
        <w:spacing w:line="400" w:lineRule="exact"/>
        <w:ind w:firstLine="422"/>
        <w:rPr>
          <w:rFonts w:ascii="宋体" w:hAnsi="宋体" w:cs="宋体"/>
          <w:sz w:val="22"/>
          <w:szCs w:val="22"/>
        </w:rPr>
      </w:pPr>
      <w:r>
        <w:rPr>
          <w:rFonts w:hint="eastAsia"/>
          <w:b/>
          <w:bCs/>
          <w:sz w:val="22"/>
          <w:szCs w:val="22"/>
        </w:rPr>
        <w:t>注：</w:t>
      </w:r>
      <w:r>
        <w:rPr>
          <w:rFonts w:hint="eastAsia" w:ascii="宋体" w:hAnsi="宋体" w:cs="宋体"/>
          <w:sz w:val="22"/>
          <w:szCs w:val="22"/>
        </w:rPr>
        <w:t>报价供应商需按本谈判文件“商务评审标准表”中评审项目</w:t>
      </w:r>
      <w:r>
        <w:rPr>
          <w:rFonts w:hint="eastAsia" w:ascii="宋体" w:hAnsi="宋体" w:cs="宋体"/>
          <w:b/>
          <w:bCs/>
          <w:sz w:val="22"/>
          <w:szCs w:val="22"/>
          <w:u w:val="single"/>
        </w:rPr>
        <w:t>“信誉”</w:t>
      </w:r>
      <w:r>
        <w:rPr>
          <w:rFonts w:hint="eastAsia" w:ascii="宋体" w:hAnsi="宋体" w:cs="宋体"/>
          <w:sz w:val="22"/>
          <w:szCs w:val="22"/>
        </w:rPr>
        <w:t>中的要求提供相关证明材料。</w:t>
      </w:r>
    </w:p>
    <w:p>
      <w:pPr>
        <w:adjustRightInd w:val="0"/>
        <w:snapToGrid w:val="0"/>
        <w:spacing w:line="400" w:lineRule="exact"/>
        <w:ind w:firstLine="440" w:firstLineChars="200"/>
        <w:rPr>
          <w:sz w:val="22"/>
          <w:szCs w:val="22"/>
        </w:rPr>
      </w:pPr>
    </w:p>
    <w:p>
      <w:pPr>
        <w:pStyle w:val="2"/>
        <w:adjustRightInd w:val="0"/>
        <w:snapToGrid w:val="0"/>
        <w:spacing w:line="400" w:lineRule="exact"/>
        <w:rPr>
          <w:sz w:val="22"/>
          <w:szCs w:val="22"/>
        </w:rPr>
      </w:pPr>
    </w:p>
    <w:p>
      <w:pPr>
        <w:spacing w:before="120" w:beforeLines="50" w:after="120" w:afterLines="50" w:line="560" w:lineRule="exact"/>
        <w:jc w:val="left"/>
        <w:outlineLvl w:val="4"/>
        <w:rPr>
          <w:rFonts w:ascii="黑体" w:hAnsi="黑体" w:eastAsia="黑体" w:cs="黑体"/>
          <w:bCs/>
          <w:sz w:val="36"/>
          <w:szCs w:val="36"/>
        </w:rPr>
      </w:pPr>
      <w:r>
        <w:rPr>
          <w:rFonts w:hint="eastAsia" w:ascii="黑体" w:hAnsi="黑体" w:eastAsia="黑体" w:cs="黑体"/>
          <w:bCs/>
          <w:sz w:val="36"/>
          <w:szCs w:val="36"/>
        </w:rPr>
        <w:t>5.</w:t>
      </w:r>
      <w:r>
        <w:rPr>
          <w:rFonts w:hint="eastAsia" w:ascii="黑体" w:hAnsi="黑体" w:eastAsia="黑体" w:cs="黑体"/>
          <w:bCs/>
          <w:kern w:val="2"/>
          <w:sz w:val="36"/>
          <w:szCs w:val="36"/>
          <w:lang w:val="zh-CN"/>
        </w:rPr>
        <w:t>报价</w:t>
      </w:r>
      <w:r>
        <w:rPr>
          <w:rFonts w:hint="eastAsia" w:ascii="黑体" w:hAnsi="黑体" w:eastAsia="黑体" w:cs="黑体"/>
          <w:bCs/>
          <w:kern w:val="2"/>
          <w:sz w:val="36"/>
          <w:szCs w:val="36"/>
        </w:rPr>
        <w:t>供应商</w:t>
      </w:r>
      <w:r>
        <w:rPr>
          <w:rFonts w:hint="eastAsia" w:ascii="黑体" w:hAnsi="黑体" w:eastAsia="黑体" w:cs="黑体"/>
          <w:bCs/>
          <w:sz w:val="36"/>
          <w:szCs w:val="36"/>
        </w:rPr>
        <w:t>性质</w:t>
      </w:r>
    </w:p>
    <w:p>
      <w:pPr>
        <w:pStyle w:val="2"/>
        <w:rPr>
          <w:lang w:val="zh-CN"/>
        </w:rPr>
        <w:sectPr>
          <w:pgSz w:w="11906" w:h="16838"/>
          <w:pgMar w:top="1418" w:right="1134" w:bottom="1418" w:left="1418" w:header="851" w:footer="851" w:gutter="0"/>
          <w:cols w:space="720" w:num="1"/>
          <w:docGrid w:linePitch="388" w:charSpace="-1260"/>
        </w:sectPr>
      </w:pPr>
      <w:r>
        <w:rPr>
          <w:rFonts w:hint="eastAsia"/>
          <w:b/>
          <w:bCs/>
          <w:sz w:val="22"/>
          <w:szCs w:val="22"/>
        </w:rPr>
        <w:t>注：</w:t>
      </w:r>
      <w:r>
        <w:rPr>
          <w:rFonts w:hint="eastAsia" w:ascii="宋体" w:hAnsi="宋体" w:cs="宋体"/>
          <w:sz w:val="22"/>
          <w:szCs w:val="22"/>
        </w:rPr>
        <w:t>报价供应商需按本谈判文件“商务评审标准表”中评审项目</w:t>
      </w:r>
      <w:r>
        <w:rPr>
          <w:rFonts w:hint="eastAsia" w:ascii="宋体" w:hAnsi="宋体" w:cs="宋体"/>
          <w:b/>
          <w:bCs/>
          <w:sz w:val="22"/>
          <w:szCs w:val="22"/>
          <w:u w:val="single"/>
        </w:rPr>
        <w:t>“报价供应商</w:t>
      </w:r>
      <w:r>
        <w:rPr>
          <w:rFonts w:hint="eastAsia" w:ascii="宋体" w:hAnsi="宋体" w:cs="宋体"/>
          <w:b/>
          <w:bCs/>
          <w:sz w:val="22"/>
          <w:szCs w:val="20"/>
          <w:u w:val="single"/>
        </w:rPr>
        <w:t>性质</w:t>
      </w:r>
      <w:r>
        <w:rPr>
          <w:rFonts w:hint="eastAsia" w:ascii="宋体" w:hAnsi="宋体" w:cs="宋体"/>
          <w:b/>
          <w:bCs/>
          <w:sz w:val="22"/>
          <w:szCs w:val="22"/>
          <w:u w:val="single"/>
        </w:rPr>
        <w:t>”</w:t>
      </w:r>
      <w:r>
        <w:rPr>
          <w:rFonts w:hint="eastAsia" w:ascii="宋体" w:hAnsi="宋体" w:cs="宋体"/>
          <w:sz w:val="22"/>
          <w:szCs w:val="22"/>
        </w:rPr>
        <w:t>中的要求提供相关证明材料。</w:t>
      </w:r>
    </w:p>
    <w:p>
      <w:pPr>
        <w:pStyle w:val="6"/>
        <w:spacing w:before="120" w:beforeLines="50" w:after="120" w:afterLines="50" w:line="560" w:lineRule="exact"/>
        <w:rPr>
          <w:rFonts w:hint="default"/>
          <w:b w:val="0"/>
          <w:snapToGrid w:val="0"/>
          <w:lang w:val="zh-CN"/>
        </w:rPr>
      </w:pPr>
      <w:r>
        <w:rPr>
          <w:b w:val="0"/>
        </w:rPr>
        <w:t>附件2-13 财务社保数据统计表</w:t>
      </w:r>
    </w:p>
    <w:tbl>
      <w:tblPr>
        <w:tblStyle w:val="13"/>
        <w:tblW w:w="9373" w:type="dxa"/>
        <w:tblInd w:w="0" w:type="dxa"/>
        <w:tblLayout w:type="fixed"/>
        <w:tblCellMar>
          <w:top w:w="0" w:type="dxa"/>
          <w:left w:w="0" w:type="dxa"/>
          <w:bottom w:w="0" w:type="dxa"/>
          <w:right w:w="0" w:type="dxa"/>
        </w:tblCellMar>
      </w:tblPr>
      <w:tblGrid>
        <w:gridCol w:w="2797"/>
        <w:gridCol w:w="1048"/>
        <w:gridCol w:w="1275"/>
        <w:gridCol w:w="1276"/>
        <w:gridCol w:w="1276"/>
        <w:gridCol w:w="1701"/>
      </w:tblGrid>
      <w:tr>
        <w:tblPrEx>
          <w:tblCellMar>
            <w:top w:w="0" w:type="dxa"/>
            <w:left w:w="0" w:type="dxa"/>
            <w:bottom w:w="0" w:type="dxa"/>
            <w:right w:w="0" w:type="dxa"/>
          </w:tblCellMar>
        </w:tblPrEx>
        <w:trPr>
          <w:trHeight w:val="889" w:hRule="atLeast"/>
        </w:trPr>
        <w:tc>
          <w:tcPr>
            <w:tcW w:w="9373" w:type="dxa"/>
            <w:gridSpan w:val="6"/>
            <w:tcBorders>
              <w:top w:val="nil"/>
              <w:left w:val="nil"/>
              <w:bottom w:val="nil"/>
              <w:right w:val="nil"/>
            </w:tcBorders>
            <w:tcMar>
              <w:top w:w="17" w:type="dxa"/>
              <w:left w:w="17" w:type="dxa"/>
              <w:bottom w:w="0" w:type="dxa"/>
              <w:right w:w="17" w:type="dxa"/>
            </w:tcMar>
            <w:vAlign w:val="center"/>
          </w:tcPr>
          <w:p>
            <w:pPr>
              <w:spacing w:line="360" w:lineRule="auto"/>
              <w:jc w:val="center"/>
              <w:rPr>
                <w:rFonts w:ascii="华文中宋" w:hAnsi="华文中宋" w:eastAsia="华文中宋" w:cs="宋体"/>
                <w:bCs/>
                <w:sz w:val="40"/>
                <w:szCs w:val="40"/>
              </w:rPr>
            </w:pPr>
            <w:r>
              <w:rPr>
                <w:rFonts w:hint="eastAsia" w:ascii="黑体" w:hAnsi="黑体" w:eastAsia="黑体" w:cs="黑体"/>
                <w:bCs/>
                <w:sz w:val="36"/>
                <w:szCs w:val="36"/>
              </w:rPr>
              <w:t>财务社保数据统计表</w:t>
            </w:r>
          </w:p>
        </w:tc>
      </w:tr>
      <w:tr>
        <w:tblPrEx>
          <w:tblCellMar>
            <w:top w:w="0" w:type="dxa"/>
            <w:left w:w="0" w:type="dxa"/>
            <w:bottom w:w="0" w:type="dxa"/>
            <w:right w:w="0" w:type="dxa"/>
          </w:tblCellMar>
        </w:tblPrEx>
        <w:trPr>
          <w:trHeight w:val="855"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宋体"/>
                <w:bCs/>
                <w:sz w:val="24"/>
              </w:rPr>
            </w:pPr>
            <w:r>
              <w:rPr>
                <w:rFonts w:hint="eastAsia" w:ascii="宋体" w:hAnsi="宋体" w:cs="宋体"/>
                <w:bCs/>
                <w:sz w:val="24"/>
              </w:rPr>
              <mc:AlternateContent>
                <mc:Choice Requires="wps">
                  <w:drawing>
                    <wp:anchor distT="0" distB="0" distL="114300" distR="114300" simplePos="0" relativeHeight="251665408" behindDoc="0" locked="0" layoutInCell="1" allowOverlap="1">
                      <wp:simplePos x="0" y="0"/>
                      <wp:positionH relativeFrom="column">
                        <wp:posOffset>6350</wp:posOffset>
                      </wp:positionH>
                      <wp:positionV relativeFrom="paragraph">
                        <wp:posOffset>-12065</wp:posOffset>
                      </wp:positionV>
                      <wp:extent cx="1737995" cy="554355"/>
                      <wp:effectExtent l="1270" t="4445" r="13335" b="12700"/>
                      <wp:wrapNone/>
                      <wp:docPr id="6" name="直接箭头连接符 6"/>
                      <wp:cNvGraphicFramePr/>
                      <a:graphic xmlns:a="http://schemas.openxmlformats.org/drawingml/2006/main">
                        <a:graphicData uri="http://schemas.microsoft.com/office/word/2010/wordprocessingShape">
                          <wps:wsp>
                            <wps:cNvCnPr>
                              <a:cxnSpLocks noChangeShapeType="1"/>
                            </wps:cNvCnPr>
                            <wps:spPr bwMode="auto">
                              <a:xfrm>
                                <a:off x="0" y="0"/>
                                <a:ext cx="1737995" cy="554355"/>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0.5pt;margin-top:-0.95pt;height:43.65pt;width:136.85pt;z-index:251665408;mso-width-relative:page;mso-height-relative:page;" filled="f" stroked="t" coordsize="21600,21600" o:gfxdata="UEsDBAoAAAAAAIdO4kAAAAAAAAAAAAAAAAAEAAAAZHJzL1BLAwQUAAAACACHTuJA7Df6T9YAAAAH&#10;AQAADwAAAGRycy9kb3ducmV2LnhtbE2PwW7CMBBE75X6D9ZW4lKBnQgKpHFQVYkDxwJSrybeJmnj&#10;dRQ7BPj6bk/lOJrRzJt8c3GtOGMfGk8akpkCgVR621Cl4XjYTlcgQjRkTesJNVwxwKZ4fMhNZv1I&#10;H3jex0pwCYXMaKhj7DIpQ1mjM2HmOyT2vnzvTGTZV9L2ZuRy18pUqRfpTEO8UJsO32ssf/aD04Bh&#10;WCTqbe2q4+42Pn+mt++xO2g9eUrUK4iIl/gfhj98RoeCmU5+IBtEy5qfRA3TZA2C7XQ5X4I4aVgt&#10;5iCLXN7zF79QSwMEFAAAAAgAh07iQALQqgv7AQAAwwMAAA4AAABkcnMvZTJvRG9jLnhtbK1TzW4T&#10;MRC+I/EOlu9kk5RNySqbHhKVS4FIbR/A8Xp3LWyPZTvZ5CV4ASROwKlw6p2nKeUxGDs/0HLpgT1Y&#10;tsffN/N9Mzs522hF1sJ5Caakg16fEmE4VNI0Jb2+On/xihIfmKmYAiNKuhWenk2fP5t0thBDaEFV&#10;whEkMb7obEnbEGyRZZ63QjPfAysMBmtwmgU8uiarHOuQXats2O+Psg5cZR1w4T3ezndBumd0TyGE&#10;upZczIGvtDBhx+qEYgEl+VZaT6ep2roWPLyray8CUSVFpSGtmAT3y7hm0wkrGsdsK/m+BPaUEh5p&#10;0kwaTHqkmrPAyMrJf6i05A481KHHQWc7IckRVDHoP/LmsmVWJC1otbdH0/3/o+Vv1wtHZFXSESWG&#10;aWz4/cfbnx++3H//dvf59tePT3F/85WMolWd9QUiZmbholi+MZf2Avh7TwzMWmYakUq+2lrkGURE&#10;9gASD95iwmX3Bip8w1YBkm+b2ulIiY6QTWrP9tgesQmE4+Xg9OR0PM4p4RjL85cneZ5SsOKAts6H&#10;1wI0iZuS+uCYbNowA2NwEsANUi62vvAh1saKAyCmNnAulUoDoQzpSjrOh3kCeFCyisH4zLtmOVOO&#10;rFkcqfTtq3jwzMHKVLskyux9iNJ3Ji6h2i7cwR/sbapmP4dxeP4+J/Sff2/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w3+k/WAAAABwEAAA8AAAAAAAAAAQAgAAAAIgAAAGRycy9kb3ducmV2Lnht&#10;bFBLAQIUABQAAAAIAIdO4kAC0KoL+wEAAMMDAAAOAAAAAAAAAAEAIAAAACUBAABkcnMvZTJvRG9j&#10;LnhtbFBLBQYAAAAABgAGAFkBAACSBQAAAAA=&#10;">
                      <v:fill on="f" focussize="0,0"/>
                      <v:stroke color="#000000" joinstyle="round"/>
                      <v:imagedata o:title=""/>
                      <o:lock v:ext="edit" aspectratio="f"/>
                    </v:shape>
                  </w:pict>
                </mc:Fallback>
              </mc:AlternateContent>
            </w:r>
            <w:r>
              <w:rPr>
                <w:rFonts w:hint="eastAsia" w:ascii="宋体" w:hAnsi="宋体" w:cs="宋体"/>
                <w:bCs/>
                <w:sz w:val="24"/>
              </w:rPr>
              <w:t xml:space="preserve">                </w:t>
            </w:r>
            <w:r>
              <w:rPr>
                <w:rFonts w:ascii="宋体" w:hAnsi="宋体" w:cs="宋体"/>
                <w:bCs/>
                <w:sz w:val="24"/>
              </w:rPr>
              <w:t xml:space="preserve"> </w:t>
            </w:r>
            <w:r>
              <w:rPr>
                <w:rFonts w:hint="eastAsia" w:ascii="宋体" w:hAnsi="宋体" w:cs="宋体"/>
                <w:bCs/>
                <w:sz w:val="24"/>
              </w:rPr>
              <w:t>年 度</w:t>
            </w:r>
          </w:p>
          <w:p>
            <w:pPr>
              <w:rPr>
                <w:rFonts w:ascii="宋体" w:hAnsi="宋体" w:cs="宋体"/>
                <w:bCs/>
                <w:sz w:val="24"/>
              </w:rPr>
            </w:pPr>
            <w:r>
              <w:rPr>
                <w:rFonts w:hint="eastAsia" w:ascii="宋体" w:hAnsi="宋体" w:cs="宋体"/>
                <w:bCs/>
                <w:sz w:val="24"/>
              </w:rPr>
              <w:t>数据项目</w:t>
            </w:r>
          </w:p>
        </w:tc>
        <w:tc>
          <w:tcPr>
            <w:tcW w:w="1048"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5"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u w:val="single"/>
              </w:rPr>
              <w:t xml:space="preserve">    </w:t>
            </w:r>
            <w:r>
              <w:rPr>
                <w:rFonts w:hint="eastAsia" w:ascii="宋体" w:hAnsi="宋体" w:cs="宋体"/>
                <w:bCs/>
                <w:sz w:val="24"/>
              </w:rPr>
              <w:t>年度</w:t>
            </w:r>
          </w:p>
        </w:tc>
        <w:tc>
          <w:tcPr>
            <w:tcW w:w="1276"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rPr>
              <w:t>3年平均数</w:t>
            </w:r>
          </w:p>
        </w:tc>
        <w:tc>
          <w:tcPr>
            <w:tcW w:w="1701" w:type="dxa"/>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ascii="宋体" w:hAnsi="宋体" w:cs="宋体"/>
                <w:bCs/>
                <w:sz w:val="24"/>
              </w:rPr>
              <w:t>文件名称</w:t>
            </w:r>
          </w:p>
          <w:p>
            <w:pPr>
              <w:jc w:val="center"/>
              <w:rPr>
                <w:rFonts w:ascii="宋体" w:hAnsi="宋体" w:cs="宋体"/>
                <w:bCs/>
                <w:sz w:val="24"/>
              </w:rPr>
            </w:pPr>
            <w:r>
              <w:rPr>
                <w:rFonts w:hint="eastAsia" w:ascii="宋体" w:hAnsi="宋体" w:cs="宋体"/>
                <w:bCs/>
                <w:sz w:val="24"/>
              </w:rPr>
              <w:t>∕页码</w:t>
            </w:r>
          </w:p>
        </w:tc>
      </w:tr>
      <w:tr>
        <w:tblPrEx>
          <w:tblCellMar>
            <w:top w:w="0" w:type="dxa"/>
            <w:left w:w="0" w:type="dxa"/>
            <w:bottom w:w="0" w:type="dxa"/>
            <w:right w:w="0" w:type="dxa"/>
          </w:tblCellMar>
        </w:tblPrEx>
        <w:trPr>
          <w:trHeight w:val="54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资产总额（万元）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4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净资产（万元）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51"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净利润（万元）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5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主营业务收入（万元）</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539"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hint="eastAsia"/>
                <w:bCs/>
                <w:sz w:val="24"/>
              </w:rPr>
              <w:t>资产负债率</w:t>
            </w:r>
          </w:p>
        </w:tc>
        <w:tc>
          <w:tcPr>
            <w:tcW w:w="1048"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5"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276"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696"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bCs/>
                <w:sz w:val="24"/>
                <w:u w:val="single"/>
              </w:rPr>
              <w:t xml:space="preserve">     </w:t>
            </w:r>
            <w:r>
              <w:rPr>
                <w:rFonts w:hint="eastAsia"/>
                <w:bCs/>
                <w:sz w:val="24"/>
              </w:rPr>
              <w:t>年度纳税总金额</w:t>
            </w:r>
          </w:p>
          <w:p>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963"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bCs/>
                <w:sz w:val="24"/>
                <w:u w:val="single"/>
              </w:rPr>
              <w:t xml:space="preserve">     </w:t>
            </w:r>
            <w:r>
              <w:rPr>
                <w:rFonts w:hint="eastAsia"/>
                <w:bCs/>
                <w:sz w:val="24"/>
              </w:rPr>
              <w:t>年度缴纳社保金额</w:t>
            </w:r>
          </w:p>
          <w:p>
            <w:pPr>
              <w:ind w:firstLine="468"/>
              <w:jc w:val="center"/>
              <w:rPr>
                <w:rFonts w:ascii="宋体" w:hAnsi="宋体" w:cs="宋体"/>
                <w:bCs/>
                <w:sz w:val="24"/>
              </w:rPr>
            </w:pPr>
            <w:r>
              <w:rPr>
                <w:rFonts w:hint="eastAsia"/>
                <w:bCs/>
                <w:sz w:val="24"/>
              </w:rPr>
              <w:t>（万元）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6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rPr>
                <w:rFonts w:ascii="宋体" w:hAnsi="宋体" w:cs="宋体"/>
                <w:bCs/>
                <w:sz w:val="24"/>
              </w:rPr>
            </w:pPr>
            <w:r>
              <w:rPr>
                <w:rFonts w:ascii="黑体" w:hAnsi="黑体" w:eastAsia="黑体"/>
                <w:bCs/>
                <w:sz w:val="24"/>
                <w:u w:val="single"/>
              </w:rPr>
              <w:t xml:space="preserve">    </w:t>
            </w:r>
            <w:r>
              <w:rPr>
                <w:rFonts w:hint="eastAsia"/>
                <w:bCs/>
                <w:sz w:val="24"/>
              </w:rPr>
              <w:t>年度缴纳社保人数</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1012" w:hRule="atLeast"/>
        </w:trPr>
        <w:tc>
          <w:tcPr>
            <w:tcW w:w="2797" w:type="dxa"/>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jc w:val="center"/>
              <w:rPr>
                <w:rFonts w:ascii="宋体" w:hAnsi="宋体" w:cs="宋体"/>
                <w:bCs/>
                <w:sz w:val="24"/>
              </w:rPr>
            </w:pPr>
            <w:r>
              <w:rPr>
                <w:rFonts w:ascii="黑体" w:hAnsi="黑体" w:eastAsia="黑体"/>
                <w:bCs/>
                <w:sz w:val="24"/>
                <w:u w:val="single"/>
              </w:rPr>
              <w:t xml:space="preserve">    </w:t>
            </w:r>
            <w:r>
              <w:rPr>
                <w:rFonts w:hint="eastAsia"/>
                <w:bCs/>
                <w:sz w:val="24"/>
              </w:rPr>
              <w:t>年度人均社保金额（元）</w:t>
            </w:r>
          </w:p>
        </w:tc>
        <w:tc>
          <w:tcPr>
            <w:tcW w:w="4875" w:type="dxa"/>
            <w:gridSpan w:val="4"/>
            <w:tcBorders>
              <w:top w:val="single" w:color="auto" w:sz="4" w:space="0"/>
              <w:left w:val="nil"/>
              <w:bottom w:val="single" w:color="auto" w:sz="4" w:space="0"/>
              <w:right w:val="single" w:color="auto" w:sz="4" w:space="0"/>
            </w:tcBorders>
            <w:tcMar>
              <w:top w:w="17" w:type="dxa"/>
              <w:left w:w="17" w:type="dxa"/>
              <w:bottom w:w="0" w:type="dxa"/>
              <w:right w:w="17" w:type="dxa"/>
            </w:tcMar>
            <w:vAlign w:val="center"/>
          </w:tcPr>
          <w:p>
            <w:pPr>
              <w:jc w:val="center"/>
              <w:rPr>
                <w:bCs/>
                <w:sz w:val="24"/>
              </w:rPr>
            </w:pPr>
            <w:r>
              <w:rPr>
                <w:rFonts w:hint="eastAsia"/>
                <w:bCs/>
                <w:sz w:val="24"/>
              </w:rPr>
              <w:t>　</w:t>
            </w:r>
          </w:p>
        </w:tc>
        <w:tc>
          <w:tcPr>
            <w:tcW w:w="1701" w:type="dxa"/>
            <w:tcBorders>
              <w:top w:val="nil"/>
              <w:left w:val="nil"/>
              <w:bottom w:val="single" w:color="auto" w:sz="4" w:space="0"/>
              <w:right w:val="single" w:color="auto" w:sz="4" w:space="0"/>
            </w:tcBorders>
            <w:tcMar>
              <w:top w:w="17" w:type="dxa"/>
              <w:left w:w="17" w:type="dxa"/>
              <w:bottom w:w="0" w:type="dxa"/>
              <w:right w:w="17" w:type="dxa"/>
            </w:tcMar>
            <w:vAlign w:val="center"/>
          </w:tcPr>
          <w:p>
            <w:pPr>
              <w:rPr>
                <w:bCs/>
                <w:sz w:val="24"/>
              </w:rPr>
            </w:pPr>
            <w:r>
              <w:rPr>
                <w:rFonts w:hint="eastAsia"/>
                <w:bCs/>
                <w:sz w:val="24"/>
              </w:rPr>
              <w:t>　</w:t>
            </w:r>
          </w:p>
        </w:tc>
      </w:tr>
      <w:tr>
        <w:tblPrEx>
          <w:tblCellMar>
            <w:top w:w="0" w:type="dxa"/>
            <w:left w:w="0" w:type="dxa"/>
            <w:bottom w:w="0" w:type="dxa"/>
            <w:right w:w="0" w:type="dxa"/>
          </w:tblCellMar>
        </w:tblPrEx>
        <w:trPr>
          <w:trHeight w:val="47" w:hRule="atLeast"/>
        </w:trPr>
        <w:tc>
          <w:tcPr>
            <w:tcW w:w="9373" w:type="dxa"/>
            <w:gridSpan w:val="6"/>
            <w:tcBorders>
              <w:top w:val="single" w:color="auto" w:sz="4" w:space="0"/>
              <w:left w:val="single" w:color="auto" w:sz="4" w:space="0"/>
              <w:bottom w:val="single" w:color="auto" w:sz="4" w:space="0"/>
              <w:right w:val="single" w:color="auto" w:sz="4" w:space="0"/>
            </w:tcBorders>
            <w:tcMar>
              <w:top w:w="17" w:type="dxa"/>
              <w:left w:w="17" w:type="dxa"/>
              <w:bottom w:w="0" w:type="dxa"/>
              <w:right w:w="17" w:type="dxa"/>
            </w:tcMar>
            <w:vAlign w:val="center"/>
          </w:tcPr>
          <w:p>
            <w:pPr>
              <w:spacing w:line="276" w:lineRule="auto"/>
              <w:rPr>
                <w:bCs/>
                <w:sz w:val="24"/>
              </w:rPr>
            </w:pPr>
            <w:r>
              <w:rPr>
                <w:rFonts w:hint="eastAsia"/>
                <w:bCs/>
                <w:sz w:val="24"/>
              </w:rPr>
              <w:t>说明：</w:t>
            </w:r>
          </w:p>
          <w:p>
            <w:pPr>
              <w:spacing w:line="360" w:lineRule="exact"/>
              <w:ind w:firstLine="480" w:firstLineChars="200"/>
              <w:rPr>
                <w:rFonts w:ascii="宋体" w:hAnsi="宋体"/>
                <w:bCs/>
                <w:sz w:val="24"/>
              </w:rPr>
            </w:pPr>
            <w:r>
              <w:rPr>
                <w:rFonts w:hint="eastAsia" w:ascii="宋体" w:hAnsi="宋体"/>
                <w:bCs/>
                <w:sz w:val="24"/>
              </w:rPr>
              <w:t>1.纳税和社保情况依据税务（社保）部门或银行出具的相关凭证如实填写，相关凭证复印件附后。其他内容依据会计师事务所出具的《审计报告》中相关数据如实填写。</w:t>
            </w:r>
          </w:p>
          <w:p>
            <w:pPr>
              <w:spacing w:line="360" w:lineRule="exact"/>
              <w:ind w:firstLine="480" w:firstLineChars="200"/>
              <w:rPr>
                <w:rFonts w:ascii="宋体" w:hAnsi="宋体"/>
                <w:bCs/>
                <w:sz w:val="24"/>
              </w:rPr>
            </w:pPr>
            <w:r>
              <w:rPr>
                <w:rFonts w:hint="eastAsia" w:ascii="宋体" w:hAnsi="宋体"/>
                <w:bCs/>
                <w:sz w:val="24"/>
              </w:rPr>
              <w:t>2.“页码”栏中填写数据所在《商务技术文件》或《资格证明文件》中的页码位置。</w:t>
            </w:r>
          </w:p>
          <w:p>
            <w:pPr>
              <w:spacing w:line="360" w:lineRule="exact"/>
              <w:ind w:firstLine="480" w:firstLineChars="200"/>
              <w:rPr>
                <w:rFonts w:ascii="宋体" w:hAnsi="宋体" w:cs="宋体"/>
                <w:bCs/>
                <w:sz w:val="24"/>
              </w:rPr>
            </w:pPr>
            <w:r>
              <w:rPr>
                <w:rFonts w:hint="eastAsia" w:ascii="宋体" w:hAnsi="宋体"/>
                <w:bCs/>
                <w:sz w:val="24"/>
              </w:rPr>
              <w:t>3</w:t>
            </w:r>
            <w:r>
              <w:rPr>
                <w:rFonts w:ascii="宋体" w:hAnsi="宋体"/>
                <w:bCs/>
                <w:sz w:val="24"/>
              </w:rPr>
              <w:t>.</w:t>
            </w:r>
            <w:r>
              <w:rPr>
                <w:rFonts w:hint="eastAsia" w:ascii="宋体" w:hAnsi="宋体"/>
                <w:bCs/>
                <w:sz w:val="24"/>
              </w:rPr>
              <w:t>评审委员会审核发现《财务社保数据统计表》与《审计报告》等证明材料中数据不一致的，以证明材料实际数据为准。</w:t>
            </w:r>
          </w:p>
        </w:tc>
      </w:tr>
    </w:tbl>
    <w:p/>
    <w:p>
      <w:pPr>
        <w:pStyle w:val="2"/>
      </w:pPr>
    </w:p>
    <w:p/>
    <w:p>
      <w:pPr>
        <w:pStyle w:val="2"/>
      </w:pPr>
    </w:p>
    <w:p/>
    <w:p>
      <w:r>
        <w:rPr>
          <w:rFonts w:hint="eastAsia"/>
        </w:rPr>
        <w:br w:type="page"/>
      </w:r>
    </w:p>
    <w:p>
      <w:pPr>
        <w:pStyle w:val="6"/>
        <w:spacing w:before="120" w:beforeLines="50" w:after="120" w:afterLines="50" w:line="560" w:lineRule="exact"/>
        <w:rPr>
          <w:rFonts w:hint="default"/>
          <w:b w:val="0"/>
        </w:rPr>
      </w:pPr>
      <w:r>
        <w:rPr>
          <w:b w:val="0"/>
        </w:rPr>
        <w:t>※附件2-14 其他</w:t>
      </w:r>
      <w:bookmarkEnd w:id="474"/>
      <w:bookmarkEnd w:id="475"/>
      <w:bookmarkEnd w:id="476"/>
      <w:bookmarkEnd w:id="477"/>
      <w:bookmarkEnd w:id="478"/>
      <w:r>
        <w:rPr>
          <w:b w:val="0"/>
        </w:rPr>
        <w:t>材料</w:t>
      </w:r>
      <w:bookmarkEnd w:id="47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pStyle w:val="7"/>
        <w:rPr>
          <w:bCs/>
          <w:sz w:val="28"/>
          <w:szCs w:val="28"/>
        </w:rPr>
      </w:pPr>
    </w:p>
    <w:p>
      <w:pPr>
        <w:rPr>
          <w:bCs/>
          <w:sz w:val="28"/>
          <w:szCs w:val="28"/>
        </w:rPr>
      </w:pPr>
    </w:p>
    <w:p>
      <w:pPr>
        <w:pStyle w:val="7"/>
        <w:rPr>
          <w:bCs/>
          <w:sz w:val="28"/>
          <w:szCs w:val="28"/>
        </w:rPr>
      </w:pPr>
    </w:p>
    <w:p>
      <w:pPr>
        <w:rPr>
          <w:bCs/>
          <w:sz w:val="28"/>
          <w:szCs w:val="28"/>
        </w:rPr>
      </w:pPr>
    </w:p>
    <w:p>
      <w:pPr>
        <w:pStyle w:val="7"/>
        <w:rPr>
          <w:bCs/>
          <w:sz w:val="28"/>
          <w:szCs w:val="28"/>
        </w:rPr>
      </w:pPr>
    </w:p>
    <w:p>
      <w:pPr>
        <w:rPr>
          <w:bCs/>
          <w:sz w:val="28"/>
          <w:szCs w:val="28"/>
        </w:rPr>
      </w:pPr>
    </w:p>
    <w:p>
      <w:pPr>
        <w:pStyle w:val="7"/>
        <w:rPr>
          <w:bCs/>
          <w:sz w:val="28"/>
          <w:szCs w:val="28"/>
        </w:rPr>
      </w:pPr>
    </w:p>
    <w:p>
      <w:pPr>
        <w:rPr>
          <w:bCs/>
          <w:sz w:val="28"/>
          <w:szCs w:val="28"/>
        </w:rPr>
      </w:pPr>
    </w:p>
    <w:p>
      <w:pPr>
        <w:pStyle w:val="7"/>
        <w:rPr>
          <w:bCs/>
          <w:sz w:val="28"/>
          <w:szCs w:val="28"/>
        </w:rPr>
      </w:pPr>
    </w:p>
    <w:p>
      <w:pPr>
        <w:rPr>
          <w:bCs/>
          <w:sz w:val="28"/>
          <w:szCs w:val="28"/>
        </w:rPr>
      </w:pPr>
    </w:p>
    <w:p>
      <w:pPr>
        <w:pStyle w:val="7"/>
        <w:rPr>
          <w:bCs/>
          <w:sz w:val="28"/>
          <w:szCs w:val="28"/>
        </w:rPr>
      </w:pPr>
    </w:p>
    <w:p>
      <w:pPr>
        <w:rPr>
          <w:bCs/>
          <w:sz w:val="28"/>
          <w:szCs w:val="28"/>
        </w:rPr>
      </w:pPr>
    </w:p>
    <w:p>
      <w:pPr>
        <w:pStyle w:val="7"/>
        <w:rPr>
          <w:bCs/>
          <w:sz w:val="28"/>
          <w:szCs w:val="28"/>
        </w:rPr>
      </w:pPr>
    </w:p>
    <w:p>
      <w:pPr>
        <w:rPr>
          <w:bCs/>
          <w:sz w:val="28"/>
          <w:szCs w:val="28"/>
        </w:rPr>
      </w:pPr>
    </w:p>
    <w:p>
      <w:pPr>
        <w:pStyle w:val="7"/>
        <w:rPr>
          <w:bCs/>
          <w:sz w:val="28"/>
          <w:szCs w:val="28"/>
        </w:rPr>
      </w:pPr>
    </w:p>
    <w:p>
      <w:pPr>
        <w:rPr>
          <w:bCs/>
          <w:sz w:val="28"/>
          <w:szCs w:val="28"/>
        </w:rPr>
      </w:pPr>
    </w:p>
    <w:p>
      <w:pPr>
        <w:pStyle w:val="7"/>
        <w:rPr>
          <w:bCs/>
          <w:sz w:val="28"/>
          <w:szCs w:val="28"/>
        </w:rPr>
      </w:pPr>
    </w:p>
    <w:p>
      <w:pPr>
        <w:rPr>
          <w:bCs/>
          <w:sz w:val="28"/>
          <w:szCs w:val="28"/>
        </w:rPr>
      </w:pPr>
    </w:p>
    <w:p>
      <w:pPr>
        <w:pStyle w:val="7"/>
        <w:rPr>
          <w:bCs/>
          <w:sz w:val="28"/>
          <w:szCs w:val="28"/>
        </w:rPr>
      </w:pPr>
    </w:p>
    <w:p>
      <w:pPr>
        <w:rPr>
          <w:bCs/>
          <w:sz w:val="28"/>
          <w:szCs w:val="28"/>
        </w:rPr>
      </w:pPr>
    </w:p>
    <w:p>
      <w:pPr>
        <w:pStyle w:val="7"/>
        <w:rPr>
          <w:bCs/>
          <w:sz w:val="28"/>
          <w:szCs w:val="28"/>
        </w:rPr>
      </w:pPr>
    </w:p>
    <w:p>
      <w:pPr>
        <w:rPr>
          <w:bCs/>
          <w:sz w:val="28"/>
          <w:szCs w:val="28"/>
        </w:rPr>
      </w:pPr>
    </w:p>
    <w:p>
      <w:pPr>
        <w:pStyle w:val="7"/>
        <w:rPr>
          <w:bCs/>
          <w:sz w:val="28"/>
          <w:szCs w:val="28"/>
        </w:rPr>
      </w:pPr>
    </w:p>
    <w:p>
      <w:pPr>
        <w:rPr>
          <w:bCs/>
          <w:sz w:val="28"/>
          <w:szCs w:val="28"/>
        </w:rPr>
      </w:pPr>
    </w:p>
    <w:p>
      <w:pPr>
        <w:pStyle w:val="7"/>
      </w:pPr>
    </w:p>
    <w:p>
      <w:pPr>
        <w:widowControl/>
        <w:jc w:val="left"/>
        <w:rPr>
          <w:bCs/>
          <w:sz w:val="36"/>
          <w:szCs w:val="36"/>
        </w:rPr>
      </w:pPr>
      <w:r>
        <w:rPr>
          <w:bCs/>
          <w:sz w:val="36"/>
          <w:szCs w:val="36"/>
        </w:rP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军队物资类项目竞争性谈判</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81" w:name="_Toc152058279"/>
      <w:bookmarkStart w:id="482" w:name="_Toc150421236"/>
      <w:r>
        <w:rPr>
          <w:rFonts w:hint="eastAsia" w:ascii="方正小标宋简体" w:eastAsia="方正小标宋简体"/>
          <w:bCs/>
          <w:sz w:val="52"/>
          <w:szCs w:val="52"/>
        </w:rPr>
        <w:t>三、资格证明文件</w:t>
      </w:r>
      <w:bookmarkEnd w:id="481"/>
      <w:bookmarkEnd w:id="482"/>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方正小标宋简体" w:hAnsi="宋体" w:eastAsia="方正小标宋简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before="240" w:beforeLines="100"/>
        <w:ind w:firstLine="720" w:firstLineChars="200"/>
        <w:jc w:val="center"/>
        <w:rPr>
          <w:rFonts w:ascii="方正小标宋简体" w:eastAsia="方正小标宋简体"/>
          <w:bCs/>
          <w:sz w:val="36"/>
          <w:szCs w:val="36"/>
        </w:rPr>
      </w:pPr>
    </w:p>
    <w:p>
      <w:pPr>
        <w:pStyle w:val="7"/>
        <w:rPr>
          <w:rFonts w:ascii="方正小标宋简体" w:eastAsia="方正小标宋简体"/>
          <w:bCs/>
          <w:sz w:val="36"/>
          <w:szCs w:val="36"/>
        </w:rPr>
      </w:pPr>
    </w:p>
    <w:p>
      <w:pPr>
        <w:rPr>
          <w:rFonts w:ascii="方正小标宋简体" w:eastAsia="方正小标宋简体"/>
          <w:bCs/>
          <w:sz w:val="36"/>
          <w:szCs w:val="36"/>
        </w:rPr>
      </w:pPr>
    </w:p>
    <w:p>
      <w:pPr>
        <w:pStyle w:val="7"/>
      </w:pPr>
    </w:p>
    <w:p>
      <w:pPr>
        <w:pStyle w:val="6"/>
        <w:spacing w:before="120" w:beforeLines="50" w:after="120" w:afterLines="50" w:line="560" w:lineRule="exact"/>
        <w:rPr>
          <w:rFonts w:hint="default"/>
          <w:b w:val="0"/>
          <w:lang w:val="zh-CN"/>
        </w:rPr>
      </w:pPr>
      <w:bookmarkStart w:id="483" w:name="_Toc6383"/>
      <w:bookmarkStart w:id="484" w:name="_Toc5235"/>
      <w:bookmarkStart w:id="485" w:name="_Toc24104"/>
      <w:bookmarkStart w:id="486" w:name="_Toc917"/>
      <w:bookmarkStart w:id="487" w:name="_Toc7783"/>
      <w:bookmarkStart w:id="488" w:name="_Toc112768478"/>
      <w:r>
        <w:rPr>
          <w:b w:val="0"/>
        </w:rPr>
        <w:t>附件3-1 资格证明文件索引表</w:t>
      </w:r>
      <w:bookmarkEnd w:id="483"/>
      <w:bookmarkEnd w:id="484"/>
      <w:bookmarkEnd w:id="485"/>
      <w:bookmarkEnd w:id="486"/>
      <w:bookmarkEnd w:id="487"/>
      <w:bookmarkEnd w:id="488"/>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w:t>
      </w:r>
      <w:bookmarkStart w:id="489" w:name="_Hlk112700834"/>
      <w:r>
        <w:rPr>
          <w:rFonts w:hint="eastAsia" w:ascii="黑体" w:hAnsi="黑体" w:eastAsia="黑体" w:cs="黑体"/>
          <w:bCs/>
          <w:sz w:val="36"/>
          <w:szCs w:val="36"/>
        </w:rPr>
        <w:t>索引表</w:t>
      </w:r>
      <w:bookmarkEnd w:id="489"/>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3"/>
        <w:tblW w:w="5000" w:type="pct"/>
        <w:jc w:val="center"/>
        <w:tblLayout w:type="fixed"/>
        <w:tblCellMar>
          <w:top w:w="0" w:type="dxa"/>
          <w:left w:w="108" w:type="dxa"/>
          <w:bottom w:w="0" w:type="dxa"/>
          <w:right w:w="108" w:type="dxa"/>
        </w:tblCellMar>
      </w:tblPr>
      <w:tblGrid>
        <w:gridCol w:w="959"/>
        <w:gridCol w:w="6804"/>
        <w:gridCol w:w="1807"/>
      </w:tblGrid>
      <w:tr>
        <w:tblPrEx>
          <w:tblCellMar>
            <w:top w:w="0" w:type="dxa"/>
            <w:left w:w="108" w:type="dxa"/>
            <w:bottom w:w="0" w:type="dxa"/>
            <w:right w:w="108" w:type="dxa"/>
          </w:tblCellMar>
        </w:tblPrEx>
        <w:trPr>
          <w:trHeight w:val="549" w:hRule="atLeast"/>
          <w:jc w:val="center"/>
        </w:trPr>
        <w:tc>
          <w:tcPr>
            <w:tcW w:w="501"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555"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67" w:hRule="atLeast"/>
          <w:jc w:val="center"/>
        </w:trPr>
        <w:tc>
          <w:tcPr>
            <w:tcW w:w="501"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555"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555"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555"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555"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555"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nil"/>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c>
          <w:tcPr>
            <w:tcW w:w="3555"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555"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555"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55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555"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50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555"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153" w:hRule="exact"/>
          <w:jc w:val="center"/>
        </w:trPr>
        <w:tc>
          <w:tcPr>
            <w:tcW w:w="1" w:type="pct"/>
            <w:gridSpan w:val="3"/>
            <w:tcBorders>
              <w:top w:val="single" w:color="auto" w:sz="4" w:space="0"/>
              <w:left w:val="single" w:color="auto" w:sz="4" w:space="0"/>
              <w:bottom w:val="single" w:color="auto" w:sz="4" w:space="0"/>
              <w:right w:val="single" w:color="auto" w:sz="4" w:space="0"/>
            </w:tcBorders>
            <w:vAlign w:val="center"/>
          </w:tcPr>
          <w:p>
            <w:pPr>
              <w:spacing w:line="276" w:lineRule="auto"/>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谈判文件要求”可以不填写。报价供应商不得虚报、瞒报、漏报或虚假承诺。</w:t>
            </w:r>
          </w:p>
        </w:tc>
      </w:tr>
    </w:tbl>
    <w:p>
      <w:pPr>
        <w:ind w:firstLine="420" w:firstLineChars="200"/>
        <w:rPr>
          <w:bCs/>
          <w:lang w:val="zh-CN"/>
        </w:rPr>
      </w:pPr>
      <w:r>
        <w:rPr>
          <w:bCs/>
          <w:lang w:val="zh-CN"/>
        </w:rPr>
        <w:br w:type="page"/>
      </w:r>
    </w:p>
    <w:p>
      <w:pPr>
        <w:pStyle w:val="6"/>
        <w:spacing w:before="120" w:beforeLines="50" w:after="120" w:afterLines="50" w:line="560" w:lineRule="exact"/>
        <w:rPr>
          <w:rFonts w:hint="default"/>
          <w:b w:val="0"/>
          <w:lang w:val="zh-CN"/>
        </w:rPr>
      </w:pPr>
      <w:bookmarkStart w:id="490" w:name="_Toc15491"/>
      <w:bookmarkStart w:id="491" w:name="_Toc8998"/>
      <w:bookmarkStart w:id="492" w:name="_Toc28654"/>
      <w:bookmarkStart w:id="493" w:name="_Toc19518"/>
      <w:bookmarkStart w:id="494" w:name="_Toc12871"/>
      <w:bookmarkStart w:id="495" w:name="_Toc112768479"/>
      <w:bookmarkStart w:id="496" w:name="_Toc10581"/>
      <w:bookmarkStart w:id="497" w:name="_Toc17617"/>
      <w:bookmarkStart w:id="498" w:name="_Toc17703"/>
      <w:r>
        <w:rPr>
          <w:b w:val="0"/>
          <w:lang w:val="zh-CN"/>
        </w:rPr>
        <w:t>附件3-2 工商营业执照、组织机构代码证、税务登记证</w:t>
      </w:r>
      <w:bookmarkEnd w:id="490"/>
      <w:bookmarkEnd w:id="491"/>
      <w:bookmarkEnd w:id="492"/>
      <w:bookmarkEnd w:id="493"/>
      <w:bookmarkEnd w:id="494"/>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495"/>
    <w:bookmarkEnd w:id="496"/>
    <w:bookmarkEnd w:id="497"/>
    <w:bookmarkEnd w:id="498"/>
    <w:p>
      <w:pPr>
        <w:widowControl/>
        <w:ind w:firstLine="420" w:firstLineChars="200"/>
        <w:jc w:val="left"/>
        <w:rPr>
          <w:rFonts w:ascii="Arial" w:hAnsi="Arial" w:eastAsia="黑体"/>
          <w:bCs/>
          <w:sz w:val="28"/>
          <w:szCs w:val="28"/>
        </w:rPr>
      </w:pPr>
      <w:r>
        <w:rPr>
          <w:bCs/>
        </w:rPr>
        <w:br w:type="page"/>
      </w:r>
    </w:p>
    <w:p>
      <w:pPr>
        <w:pStyle w:val="6"/>
        <w:spacing w:before="120" w:beforeLines="50" w:after="120" w:afterLines="50" w:line="560" w:lineRule="exact"/>
        <w:rPr>
          <w:rFonts w:hint="default"/>
          <w:b w:val="0"/>
        </w:rPr>
      </w:pPr>
      <w:bookmarkStart w:id="499" w:name="_Toc16005"/>
      <w:bookmarkStart w:id="500" w:name="_Toc4517"/>
      <w:bookmarkStart w:id="501" w:name="_Toc14325"/>
      <w:bookmarkStart w:id="502" w:name="_Toc112768480"/>
      <w:bookmarkStart w:id="503" w:name="_Toc32660"/>
      <w:bookmarkStart w:id="504" w:name="_Toc2338"/>
      <w:r>
        <w:rPr>
          <w:b w:val="0"/>
        </w:rPr>
        <w:t>附件3-3 法定代表人资格证明书</w:t>
      </w:r>
      <w:bookmarkEnd w:id="499"/>
      <w:bookmarkEnd w:id="500"/>
      <w:bookmarkEnd w:id="501"/>
      <w:bookmarkEnd w:id="502"/>
      <w:bookmarkEnd w:id="503"/>
      <w:bookmarkEnd w:id="504"/>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61595</wp:posOffset>
                </wp:positionV>
                <wp:extent cx="2189480" cy="1125855"/>
                <wp:effectExtent l="4445" t="4445" r="15875" b="1270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9480"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85pt;height:88.65pt;width:172.4pt;z-index:251660288;v-text-anchor:middle;mso-width-relative:page;mso-height-relative:page;" fillcolor="#FFFFFF" filled="t" stroked="t" coordsize="21600,21600" o:gfxdata="UEsDBAoAAAAAAIdO4kAAAAAAAAAAAAAAAAAEAAAAZHJzL1BLAwQUAAAACACHTuJAF4zc9dYAAAAJ&#10;AQAADwAAAGRycy9kb3ducmV2LnhtbE2Py07DMBBF90j8gzVI7KgdVNI0xOkCVJZIpHyAEw9JVHsc&#10;xe6DfD3DCpaje3TvmWp39U6ccY5jIA3ZSoFA6oIdqdfwedg/FCBiMmSNC4QavjHCrr69qUxpw4U+&#10;8NykXnAJxdJoGFKaSiljN6A3cRUmJM6+wuxN4nPupZ3Nhcu9k49K5dKbkXhhMBO+DNgdm5PX8L4t&#10;sF9eY6eO+8a/tYuLS55pfX+XqWcQCa/pD4ZffVaHmp3acCIbhdOwfspzRjVsNyA4L1S2BtEyWGwU&#10;yLqS/z+ofwBQSwMEFAAAAAgAh07iQPHZGWZPAgAAogQAAA4AAABkcnMvZTJvRG9jLnhtbK1UzW7U&#10;MBC+I/EOlu80m+0ubKNmq9JVEVL5kQoP4HWcjYXjMWPvJuUB4A04ceHOc+1zMHbSshSQeiAHy+OZ&#10;+Wbmm5mcnvWtYTuFXoMteX404UxZCZW2m5K/f3f5ZMGZD8JWwoBVJb9Rnp8tHz867VyhptCAqRQy&#10;ArG+6FzJmxBckWVeNqoV/gicsqSsAVsRSMRNVqHoCL012XQyeZp1gJVDkMp7el0NSj4i4kMAoa61&#10;VCuQ21bZMKCiMiJQSb7RzvNlyraulQxv6tqrwEzJqdKQTgpC93U8s+WpKDYoXKPlmIJ4SAr3amqF&#10;thT0DmolgmBb1H9AtVoieKjDkYQ2GwpJjFAV+eQeN9eNcCrVQlR7d0e6/3+w8vXuLTJdlfyYMyta&#10;avj+65f9tx/775/ZcaSnc74gq2tHdqF/Dj0NTSrVuyuQHzyzcNEIu1HniNA1SlSUXh49swPXAcdH&#10;kHX3CiqKI7YBElBfYxu5IzYYoVNrbu5ao/rAJD1O88XJbEEqSbo8n84X83mKIYpbd4c+vFDQsngp&#10;OVLvE7zYXfkQ0xHFrUmM5sHo6lIbkwTcrC8Msp2gOblM34j+m5mxrCv5yXw6Hxj4J8QkfX+DiCms&#10;hG+GUBXdopUoWh1orYxuS744dDZ2JDJyN7AY+nU/NmYN1Q1RijAMNq01XRrAT5x1NNQl9x+3AhVn&#10;5qWltpzks1ncgiTM5s+mJOChZn2oEVYSVMllQM4G4SIMu7N1qDcNxRpGwcI5NbPWiebY9SGvMXMa&#10;3cT+uGZxNw7lZPXr17L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eM3PXWAAAACQEAAA8AAAAA&#10;AAAAAQAgAAAAIgAAAGRycy9kb3ducmV2LnhtbFBLAQIUABQAAAAIAIdO4kDx2Rlm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125855"/>
                <wp:effectExtent l="4445" t="4445"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88.65pt;width:176.45pt;z-index:251659264;v-text-anchor:middle;mso-width-relative:page;mso-height-relative:page;" fillcolor="#FFFFFF" filled="t" stroked="t" coordsize="21600,21600" o:gfxdata="UEsDBAoAAAAAAIdO4kAAAAAAAAAAAAAAAAAEAAAAZHJzL1BLAwQUAAAACACHTuJANvUrQdQAAAAJ&#10;AQAADwAAAGRycy9kb3ducmV2LnhtbE2PzU7DMBCE70i8g7VI3KhtoJEJcXoAtUckUh7AiZckqn+i&#10;2P0hT9/lBMedGc1+U20u3rETzmmMQYNcCWAYumjH0Gv42m8fFLCUTbDGxYAafjDBpr69qUxp4zl8&#10;4qnJPaOSkEqjYch5KjlP3YDepFWcMJD3HWdvMp1zz+1szlTuHX8UouDejIE+DGbCtwG7Q3P0Gj5e&#10;FPbLe+rEYdv4Xbu4tBRS6/s7KV6BZbzkvzD84hM61MTUxmOwiTkN67WkJOnyCRj5z0LRtpYEpQrg&#10;dcX/L6ivUEsDBBQAAAAIAIdO4kDOKtDWTwIAAKIEAAAOAAAAZHJzL2Uyb0RvYy54bWytVM1u1DAQ&#10;viPxDpbvNJtoA23UbFV2tQip/EiFB/A6zsbC9hjbu0l5AHgDTly481z7HIydtCwFpB7IwfJ4Zr6Z&#10;+WYm5xeDVmQvnJdgapqfzCgRhkMjzbam79+tn5xS4gMzDVNgRE1vhKcXi8ePzntbiQI6UI1wBEGM&#10;r3pb0y4EW2WZ553QzJ+AFQaVLTjNAopumzWO9YiuVVbMZk+zHlxjHXDhPb6uRiWdEN1DAKFtJRcr&#10;4DstTBhRnVAsYEm+k9bTRcq2bQUPb9rWi0BUTbHSkE4MgvdNPLPFOau2jtlO8ikF9pAU7tWkmTQY&#10;9A5qxQIjOyf/gNKSO/DQhhMOOhsLSYxgFfnsHjfXHbMi1YJUe3tHuv9/sPz1/q0jsqnpnBLDNDb8&#10;8PXL4duPw/fPZB7p6a2v0Oraol0YnsOAQ5NK9fYK+AdPDCw7Zrbi0jnoO8EaTC+PntmR64jjI8im&#10;fwUNxmG7AAloaJ2O3CEbBNGxNTd3rRFDIBwfi2I+O8tLSjjq8rwoT8syxWDVrbt1PrwQoEm81NRh&#10;7xM821/5ENNh1a1JjOZByWYtlUqC226WypE9wzlZp29C/81MGdLX9KwsypGBf0LM0vc3iJjCivlu&#10;DNXgLVqxSsuAa6WkrunpsbMyE5GRu5HFMGyGqTEbaG6QUgfjYONa46UD94mSHoe6pv7jjjlBiXpp&#10;sC1n+XwetyAJ8/JZgYI71myONcxwhKopD46SUViGcXd21slth7HGUTBwic1sZaI5dn3Ma8ocRzex&#10;P61Z3I1jOVn9+rU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29StB1AAAAAkBAAAPAAAAAAAA&#10;AAEAIAAAACIAAABkcnMvZG93bnJldi54bWxQSwECFAAUAAAACACHTuJAzirQ1k8CAACiBAAADgAA&#10;AAAAAAABACAAAAAjAQAAZHJzL2Uyb0RvYy54bWxQSwUGAAAAAAYABgBZAQAA5AU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rPr>
          <w:bCs/>
          <w:sz w:val="28"/>
          <w:szCs w:val="28"/>
        </w:rPr>
      </w:pPr>
    </w:p>
    <w:p>
      <w:pPr>
        <w:ind w:firstLine="560" w:firstLineChars="20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ind w:firstLine="560" w:firstLineChars="200"/>
        <w:jc w:val="center"/>
        <w:rPr>
          <w:bCs/>
          <w:sz w:val="28"/>
          <w:szCs w:val="28"/>
        </w:rPr>
      </w:pPr>
      <w:r>
        <w:rPr>
          <w:rFonts w:hint="eastAsia"/>
          <w:bCs/>
          <w:sz w:val="28"/>
          <w:szCs w:val="28"/>
        </w:rPr>
        <w:t xml:space="preserve">                   报价供应商全称：（盖章）</w:t>
      </w:r>
    </w:p>
    <w:p>
      <w:pPr>
        <w:jc w:val="left"/>
        <w:rPr>
          <w:bCs/>
          <w:sz w:val="28"/>
          <w:szCs w:val="28"/>
        </w:rPr>
      </w:pPr>
    </w:p>
    <w:p>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ind w:firstLine="420" w:firstLineChars="200"/>
        <w:jc w:val="left"/>
        <w:rPr>
          <w:rFonts w:ascii="Arial" w:hAnsi="Arial" w:eastAsia="黑体"/>
          <w:bCs/>
          <w:sz w:val="28"/>
          <w:szCs w:val="28"/>
          <w:lang w:val="zh-CN"/>
        </w:rPr>
      </w:pPr>
      <w:r>
        <w:rPr>
          <w:bCs/>
          <w:lang w:val="zh-CN"/>
        </w:rPr>
        <w:br w:type="page"/>
      </w:r>
    </w:p>
    <w:p>
      <w:pPr>
        <w:pStyle w:val="6"/>
        <w:spacing w:before="120" w:beforeLines="50" w:after="120" w:afterLines="50" w:line="560" w:lineRule="exact"/>
        <w:rPr>
          <w:rFonts w:hint="default"/>
          <w:b w:val="0"/>
        </w:rPr>
      </w:pPr>
      <w:bookmarkStart w:id="505" w:name="_Toc28875"/>
      <w:bookmarkStart w:id="506" w:name="_Toc28922"/>
      <w:bookmarkStart w:id="507" w:name="_Toc31612"/>
      <w:bookmarkStart w:id="508" w:name="_Toc13950"/>
      <w:bookmarkStart w:id="509" w:name="_Toc112768481"/>
      <w:bookmarkStart w:id="510" w:name="_Toc1880"/>
      <w:r>
        <w:rPr>
          <w:b w:val="0"/>
        </w:rPr>
        <w:t>附件3-4 法定代表人授权书</w:t>
      </w:r>
      <w:bookmarkEnd w:id="505"/>
      <w:bookmarkEnd w:id="506"/>
      <w:bookmarkEnd w:id="507"/>
      <w:bookmarkEnd w:id="508"/>
      <w:bookmarkEnd w:id="509"/>
      <w:bookmarkEnd w:id="510"/>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60" w:firstLineChars="200"/>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left="-2" w:leftChars="-1" w:firstLine="4200" w:firstLineChars="1500"/>
        <w:rPr>
          <w:rFonts w:ascii="宋体" w:hAnsi="宋体" w:cs="宋体"/>
          <w:bCs/>
          <w:sz w:val="28"/>
          <w:szCs w:val="28"/>
        </w:rPr>
      </w:pPr>
      <w:r>
        <w:rPr>
          <w:rFonts w:hint="eastAsia" w:ascii="宋体" w:hAnsi="宋体" w:cs="宋体"/>
          <w:bCs/>
          <w:sz w:val="28"/>
          <w:szCs w:val="28"/>
        </w:rPr>
        <w:t xml:space="preserve">报价供应商全称：（盖章）                            </w:t>
      </w:r>
    </w:p>
    <w:p>
      <w:pPr>
        <w:spacing w:line="560" w:lineRule="exact"/>
        <w:ind w:firstLine="4200" w:firstLineChars="1500"/>
        <w:rPr>
          <w:rFonts w:ascii="宋体" w:hAnsi="宋体" w:cs="宋体"/>
          <w:bCs/>
          <w:sz w:val="28"/>
          <w:szCs w:val="28"/>
        </w:rPr>
      </w:pPr>
      <w:r>
        <w:rPr>
          <w:rFonts w:hint="eastAsia" w:ascii="宋体" w:hAnsi="宋体" w:cs="宋体"/>
          <w:bCs/>
          <w:sz w:val="28"/>
          <w:szCs w:val="28"/>
        </w:rPr>
        <w:t>法定代表人：（签字）</w:t>
      </w:r>
    </w:p>
    <w:p>
      <w:pPr>
        <w:spacing w:line="560" w:lineRule="exact"/>
        <w:ind w:left="2967"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2879090</wp:posOffset>
                </wp:positionH>
                <wp:positionV relativeFrom="paragraph">
                  <wp:posOffset>115570</wp:posOffset>
                </wp:positionV>
                <wp:extent cx="2240915" cy="1081405"/>
                <wp:effectExtent l="4445" t="4445" r="21590" b="190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7pt;margin-top:9.1pt;height:85.15pt;width:176.45pt;z-index:251662336;v-text-anchor:middle;mso-width-relative:page;mso-height-relative:page;" fillcolor="#FFFFFF" filled="t" stroked="t" coordsize="21600,21600" o:gfxdata="UEsDBAoAAAAAAIdO4kAAAAAAAAAAAAAAAAAEAAAAZHJzL1BLAwQUAAAACACHTuJAWwEBzdYAAAAK&#10;AQAADwAAAGRycy9kb3ducmV2LnhtbE2Py07DMBBF90j8gzVI7KidPiIT4nQBapdIpHyAEw9JVHsc&#10;xe6DfH3dFSxn7tGdM+X26iw74xQGTwqyhQCG1HozUKfg+7B7kcBC1GS09YQKfjHAtnp8KHVh/IW+&#10;8FzHjqUSCoVW0Mc4FpyHtkenw8KPSCn78ZPTMY1Tx82kL6ncWb4UIudOD5Qu9HrE9x7bY31yCj5f&#10;JXbzR2jFcVe7fTPbMOeZUs9PmXgDFvEa/2C46yd1qJJT409kArMK1pvVOqEpkEtgCZAiXwFr7gu5&#10;AV6V/P8L1Q1QSwMEFAAAAAgAh07iQJohRF1OAgAAogQAAA4AAABkcnMvZTJvRG9jLnhtbK1UzW7U&#10;MBC+I/EOlu80P9qFNmq2KrtahFR+pMIDeB1nY2F7jO3dpDwAvAEnLtx5rn0Oxk5algJSD+RgeTwz&#10;38x8M5Pzi0ErshfOSzA1LU5ySoTh0Eizren7d+snp5T4wEzDFBhR0xvh6cXi8aPz3laihA5UIxxB&#10;EOOr3ta0C8FWWeZ5JzTzJ2CFQWULTrOAottmjWM9omuVlXn+NOvBNdYBF97j62pU0gnRPQQQ2lZy&#10;sQK+08KEEdUJxQKW5DtpPV2kbNtW8PCmbb0IRNUUKw3pxCB438QzW5yzauuY7SSfUmAPSeFeTZpJ&#10;g0HvoFYsMLJz8g8oLbkDD2044aCzsZDECFZR5Pe4ue6YFakWpNrbO9L9/4Plr/dvHZFNTUtKDNPY&#10;8MPXL4dvPw7fP5My0tNbX6HVtUW7MDyHAYcmlertFfAPnhhYdsxsxaVz0HeCNZheET2zI9cRx0eQ&#10;Tf8KGozDdgES0NA6HblDNgiiY2tu7lojhkA4PpblLD8r5pRw1BX5aTHL5ykGq27drfPhhQBN4qWm&#10;Dnuf4Nn+yoeYDqtuTWI0D0o2a6lUEtx2s1SO7BnOyTp9E/pvZsqQvqZn83I+MvBPiDx9f4OIKayY&#10;78ZQDd6iFau0DLhWSuqanh47KzMRGbkbWQzDZpgas4HmBil1MA42rjVeOnCfKOlxqGvqP+6YE5So&#10;lwbbclbMZnELkjCbPytRcMeazbGGGY5QNeXBUTIKyzDuzs46ue0w1jgKBi6xma1MNMeuj3lNmePo&#10;JvanNYu7cSwnq1+/l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wEBzdYAAAAKAQAADwAAAAAA&#10;AAABACAAAAAiAAAAZHJzL2Rvd25yZXYueG1sUEsBAhQAFAAAAAgAh07iQJohRF1OAgAAogQAAA4A&#10;AAAAAAAAAQAgAAAAJQ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116205</wp:posOffset>
                </wp:positionV>
                <wp:extent cx="2240915" cy="1081405"/>
                <wp:effectExtent l="4445" t="4445" r="21590" b="190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08140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15pt;height:85.15pt;width:176.45pt;z-index:251661312;v-text-anchor:middle;mso-width-relative:page;mso-height-relative:page;" fillcolor="#FFFFFF" filled="t" stroked="t" coordsize="21600,21600" o:gfxdata="UEsDBAoAAAAAAIdO4kAAAAAAAAAAAAAAAAAEAAAAZHJzL1BLAwQUAAAACACHTuJAI0m1mtUAAAAJ&#10;AQAADwAAAGRycy9kb3ducmV2LnhtbE2PzU7DMBCE70i8g7VI3KhjWoUQ4vRAVY5IBB7AiZckqr2O&#10;YveHPD3bExxnZjXzbbW9eCdOOMcxkAa1ykAgdcGO1Gv4+tw/FCBiMmSNC4QafjDCtr69qUxpw5k+&#10;8NSkXnAJxdJoGFKaSiljN6A3cRUmJM6+w+xNYjn30s7mzOXeyccsy6U3I/HCYCZ8HbA7NEev4f25&#10;wH7ZxS477Bv/1i4uLrnS+v5OZS8gEl7S3zFc8RkdamZqw5FsFE5Drpg8sV+sQXC+UZsnEO3VKHKQ&#10;dSX/f1D/AlBLAwQUAAAACACHTuJArYXNvU8CAACiBAAADgAAAGRycy9lMm9Eb2MueG1srVTNbtQw&#10;EL4j8Q6W7zTJahe6UbNV6aoIqfxIhQfwOs7Gwn+MvZuUB4A34MSFO8/V52Bsb5eocOiBHCJPZvzN&#10;N9/M5Ox81IrsBXhpTUOrk5ISYbhtpdk29OOHq2enlPjATMuUNaKht8LT89XTJ2eDq8XM9la1AgiC&#10;GF8PrqF9CK4uCs97oZk/sU4YdHYWNAtowrZogQ2IrlUxK8vnxWChdWC58B6/rrOTHhDhMYC26yQX&#10;a8t3WpiQUUEoFrAk30vn6Sqx7TrBw7uu8yIQ1VCsNKQ3JsHzJr6L1Rmrt8BcL/mBAnsMhQc1aSYN&#10;Jj1CrVlgZAfyLygtOVhvu3DCrS5yIUkRrKIqH2hz0zMnUi0otXdH0f3/g+Vv9++ByBYngRLDNDb8&#10;7vu3ux+/7n5+JVWUZ3C+xqgbh3FhfGnHGBpL9e7a8k+eGHvZM7MVFwB26AVrkV66WUyuZhwfQTbD&#10;G9tiHrYLNgGNHegIiGoQRMfW3B5bI8ZAOH6czeblslpQwtFXlafVvFxEdgWr76878OGVsJrEQ0MB&#10;e5/g2f7ahxx6H5LoWyXbK6lUMmC7uVRA9gzn5Co9B3Q/DVOGDA1dLmaLrMDU56cQZXr+BREprJnv&#10;c6oWTzGK1VoGXCsldUNPp5eVwSKjkFG7rGIYN+OhMRvb3qKkYPNg41rjobfwhZIBh7qh/vOOgaBE&#10;vTbYlmU1n8ctSMZ88WKGBkw9m6mHGY5QDeUBKMnGZci7s3Mgtz3myqNg7AU2s5NJ5kg28zowx9FN&#10;jTqsWdyNqZ2i/vxa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0m1mtUAAAAJAQAADwAAAAAA&#10;AAABACAAAAAiAAAAZHJzL2Rvd25yZXYueG1sUEsBAhQAFAAAAAgAh07iQK2Fzb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w:t>
      </w:r>
      <w:r>
        <w:rPr>
          <w:rFonts w:hint="eastAsia"/>
          <w:bCs/>
          <w:sz w:val="28"/>
          <w:szCs w:val="28"/>
        </w:rPr>
        <w:t>视为无效</w:t>
      </w:r>
      <w:r>
        <w:rPr>
          <w:rFonts w:hint="eastAsia" w:ascii="宋体" w:hAnsi="宋体" w:cs="宋体"/>
          <w:bCs/>
          <w:sz w:val="28"/>
          <w:szCs w:val="28"/>
        </w:rPr>
        <w:t>报价。</w:t>
      </w:r>
    </w:p>
    <w:p>
      <w:pPr>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r>
        <w:rPr>
          <w:rFonts w:hint="eastAsia" w:ascii="黑体" w:hAnsi="黑体" w:eastAsia="黑体" w:cs="宋体"/>
          <w:bCs/>
          <w:sz w:val="28"/>
          <w:szCs w:val="28"/>
        </w:rPr>
        <w:br w:type="page"/>
      </w:r>
    </w:p>
    <w:p>
      <w:pPr>
        <w:jc w:val="center"/>
        <w:rPr>
          <w:bCs/>
          <w:lang w:val="zh-CN"/>
        </w:rPr>
      </w:pPr>
    </w:p>
    <w:p>
      <w:pPr>
        <w:pStyle w:val="6"/>
        <w:spacing w:before="120" w:beforeLines="50" w:after="120" w:afterLines="50" w:line="560" w:lineRule="exact"/>
        <w:rPr>
          <w:rFonts w:hint="default"/>
          <w:b w:val="0"/>
        </w:rPr>
      </w:pPr>
      <w:bookmarkStart w:id="511" w:name="_Toc112768482"/>
      <w:bookmarkStart w:id="512" w:name="_Toc18413"/>
      <w:bookmarkStart w:id="513" w:name="_Toc29739"/>
      <w:bookmarkStart w:id="514" w:name="_Toc28052"/>
      <w:bookmarkStart w:id="515" w:name="_Toc12516"/>
      <w:bookmarkStart w:id="516" w:name="_Toc507"/>
      <w:r>
        <w:rPr>
          <w:b w:val="0"/>
        </w:rPr>
        <w:t>附件3-5 主要股东或出资人信息</w:t>
      </w:r>
    </w:p>
    <w:p>
      <w:pPr>
        <w:adjustRightInd w:val="0"/>
        <w:snapToGrid w:val="0"/>
        <w:spacing w:line="520" w:lineRule="exact"/>
        <w:jc w:val="center"/>
        <w:rPr>
          <w:rFonts w:eastAsia="方正小标宋简体"/>
          <w:bCs/>
          <w:sz w:val="40"/>
          <w:szCs w:val="40"/>
        </w:rPr>
      </w:pPr>
    </w:p>
    <w:p>
      <w:pPr>
        <w:adjustRightInd w:val="0"/>
        <w:snapToGrid w:val="0"/>
        <w:spacing w:line="520" w:lineRule="exact"/>
        <w:jc w:val="center"/>
        <w:rPr>
          <w:rFonts w:eastAsia="方正小标宋简体"/>
          <w:bCs/>
          <w:sz w:val="40"/>
          <w:szCs w:val="40"/>
        </w:rPr>
      </w:pPr>
      <w:r>
        <w:rPr>
          <w:rFonts w:eastAsia="方正小标宋简体"/>
          <w:bCs/>
          <w:sz w:val="40"/>
          <w:szCs w:val="40"/>
        </w:rPr>
        <w:t>主要股东或出资人信息</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404"/>
        <w:gridCol w:w="1493"/>
        <w:gridCol w:w="1315"/>
        <w:gridCol w:w="9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pPr>
              <w:adjustRightInd w:val="0"/>
              <w:snapToGrid w:val="0"/>
              <w:spacing w:line="400" w:lineRule="exact"/>
              <w:jc w:val="center"/>
              <w:rPr>
                <w:sz w:val="22"/>
                <w:szCs w:val="22"/>
              </w:rPr>
            </w:pPr>
            <w:r>
              <w:rPr>
                <w:sz w:val="22"/>
                <w:szCs w:val="22"/>
              </w:rPr>
              <w:t>序号</w:t>
            </w:r>
          </w:p>
        </w:tc>
        <w:tc>
          <w:tcPr>
            <w:tcW w:w="1287" w:type="dxa"/>
            <w:vAlign w:val="center"/>
          </w:tcPr>
          <w:p>
            <w:pPr>
              <w:adjustRightInd w:val="0"/>
              <w:snapToGrid w:val="0"/>
              <w:spacing w:line="400" w:lineRule="exact"/>
              <w:jc w:val="center"/>
              <w:rPr>
                <w:sz w:val="22"/>
                <w:szCs w:val="22"/>
              </w:rPr>
            </w:pPr>
            <w:r>
              <w:rPr>
                <w:sz w:val="22"/>
                <w:szCs w:val="22"/>
              </w:rPr>
              <w:t>名称</w:t>
            </w:r>
          </w:p>
          <w:p>
            <w:pPr>
              <w:adjustRightInd w:val="0"/>
              <w:snapToGrid w:val="0"/>
              <w:spacing w:line="400" w:lineRule="exact"/>
              <w:jc w:val="center"/>
              <w:rPr>
                <w:sz w:val="22"/>
                <w:szCs w:val="22"/>
              </w:rPr>
            </w:pPr>
            <w:r>
              <w:rPr>
                <w:sz w:val="22"/>
                <w:szCs w:val="22"/>
              </w:rPr>
              <w:t>（姓名）</w:t>
            </w:r>
          </w:p>
        </w:tc>
        <w:tc>
          <w:tcPr>
            <w:tcW w:w="2340" w:type="dxa"/>
            <w:vAlign w:val="center"/>
          </w:tcPr>
          <w:p>
            <w:pPr>
              <w:adjustRightInd w:val="0"/>
              <w:snapToGrid w:val="0"/>
              <w:spacing w:line="400" w:lineRule="exact"/>
              <w:jc w:val="center"/>
              <w:rPr>
                <w:sz w:val="22"/>
                <w:szCs w:val="22"/>
              </w:rPr>
            </w:pPr>
            <w:r>
              <w:rPr>
                <w:sz w:val="22"/>
                <w:szCs w:val="22"/>
              </w:rPr>
              <w:t>统一社会信用代码</w:t>
            </w:r>
          </w:p>
          <w:p>
            <w:pPr>
              <w:adjustRightInd w:val="0"/>
              <w:snapToGrid w:val="0"/>
              <w:spacing w:line="400" w:lineRule="exact"/>
              <w:jc w:val="center"/>
              <w:rPr>
                <w:sz w:val="22"/>
                <w:szCs w:val="22"/>
              </w:rPr>
            </w:pPr>
            <w:r>
              <w:rPr>
                <w:sz w:val="22"/>
                <w:szCs w:val="22"/>
              </w:rPr>
              <w:t>（身份证号）</w:t>
            </w:r>
          </w:p>
        </w:tc>
        <w:tc>
          <w:tcPr>
            <w:tcW w:w="1404" w:type="dxa"/>
            <w:vAlign w:val="center"/>
          </w:tcPr>
          <w:p>
            <w:pPr>
              <w:adjustRightInd w:val="0"/>
              <w:snapToGrid w:val="0"/>
              <w:spacing w:line="400" w:lineRule="exact"/>
              <w:jc w:val="center"/>
              <w:rPr>
                <w:sz w:val="22"/>
                <w:szCs w:val="22"/>
              </w:rPr>
            </w:pPr>
            <w:r>
              <w:rPr>
                <w:sz w:val="22"/>
                <w:szCs w:val="22"/>
              </w:rPr>
              <w:t>出资方式</w:t>
            </w:r>
          </w:p>
        </w:tc>
        <w:tc>
          <w:tcPr>
            <w:tcW w:w="1493" w:type="dxa"/>
            <w:vAlign w:val="center"/>
          </w:tcPr>
          <w:p>
            <w:pPr>
              <w:adjustRightInd w:val="0"/>
              <w:snapToGrid w:val="0"/>
              <w:spacing w:line="400" w:lineRule="exact"/>
              <w:jc w:val="center"/>
              <w:rPr>
                <w:sz w:val="22"/>
                <w:szCs w:val="22"/>
              </w:rPr>
            </w:pPr>
            <w:r>
              <w:rPr>
                <w:sz w:val="22"/>
                <w:szCs w:val="22"/>
              </w:rPr>
              <w:t>出资金额</w:t>
            </w:r>
          </w:p>
          <w:p>
            <w:pPr>
              <w:adjustRightInd w:val="0"/>
              <w:snapToGrid w:val="0"/>
              <w:spacing w:line="400" w:lineRule="exact"/>
              <w:jc w:val="center"/>
              <w:rPr>
                <w:sz w:val="22"/>
                <w:szCs w:val="22"/>
              </w:rPr>
            </w:pPr>
            <w:r>
              <w:rPr>
                <w:sz w:val="22"/>
                <w:szCs w:val="22"/>
              </w:rPr>
              <w:t>（万元）</w:t>
            </w:r>
          </w:p>
        </w:tc>
        <w:tc>
          <w:tcPr>
            <w:tcW w:w="1315" w:type="dxa"/>
            <w:vAlign w:val="center"/>
          </w:tcPr>
          <w:p>
            <w:pPr>
              <w:adjustRightInd w:val="0"/>
              <w:snapToGrid w:val="0"/>
              <w:spacing w:line="400" w:lineRule="exact"/>
              <w:jc w:val="center"/>
              <w:rPr>
                <w:sz w:val="22"/>
                <w:szCs w:val="22"/>
              </w:rPr>
            </w:pPr>
            <w:r>
              <w:rPr>
                <w:sz w:val="22"/>
                <w:szCs w:val="22"/>
              </w:rPr>
              <w:t>占全部股份比例</w:t>
            </w:r>
          </w:p>
        </w:tc>
        <w:tc>
          <w:tcPr>
            <w:tcW w:w="957" w:type="dxa"/>
            <w:vAlign w:val="center"/>
          </w:tcPr>
          <w:p>
            <w:pPr>
              <w:adjustRightInd w:val="0"/>
              <w:snapToGrid w:val="0"/>
              <w:spacing w:line="400" w:lineRule="exact"/>
              <w:jc w:val="center"/>
              <w:rPr>
                <w:sz w:val="22"/>
                <w:szCs w:val="22"/>
              </w:rPr>
            </w:pPr>
            <w:r>
              <w:rPr>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adjustRightInd w:val="0"/>
              <w:snapToGrid w:val="0"/>
              <w:spacing w:line="400" w:lineRule="exact"/>
              <w:jc w:val="center"/>
              <w:rPr>
                <w:sz w:val="22"/>
                <w:szCs w:val="22"/>
              </w:rPr>
            </w:pPr>
          </w:p>
        </w:tc>
        <w:tc>
          <w:tcPr>
            <w:tcW w:w="1287" w:type="dxa"/>
            <w:vAlign w:val="center"/>
          </w:tcPr>
          <w:p>
            <w:pPr>
              <w:adjustRightInd w:val="0"/>
              <w:snapToGrid w:val="0"/>
              <w:spacing w:line="400" w:lineRule="exact"/>
              <w:jc w:val="center"/>
              <w:rPr>
                <w:sz w:val="22"/>
                <w:szCs w:val="22"/>
              </w:rPr>
            </w:pPr>
          </w:p>
        </w:tc>
        <w:tc>
          <w:tcPr>
            <w:tcW w:w="2340" w:type="dxa"/>
            <w:vAlign w:val="center"/>
          </w:tcPr>
          <w:p>
            <w:pPr>
              <w:adjustRightInd w:val="0"/>
              <w:snapToGrid w:val="0"/>
              <w:spacing w:line="400" w:lineRule="exact"/>
              <w:jc w:val="center"/>
              <w:rPr>
                <w:sz w:val="22"/>
                <w:szCs w:val="22"/>
              </w:rPr>
            </w:pPr>
          </w:p>
        </w:tc>
        <w:tc>
          <w:tcPr>
            <w:tcW w:w="1404" w:type="dxa"/>
            <w:vAlign w:val="center"/>
          </w:tcPr>
          <w:p>
            <w:pPr>
              <w:adjustRightInd w:val="0"/>
              <w:snapToGrid w:val="0"/>
              <w:spacing w:line="400" w:lineRule="exact"/>
              <w:jc w:val="center"/>
              <w:rPr>
                <w:sz w:val="22"/>
                <w:szCs w:val="22"/>
              </w:rPr>
            </w:pPr>
          </w:p>
        </w:tc>
        <w:tc>
          <w:tcPr>
            <w:tcW w:w="1493" w:type="dxa"/>
            <w:vAlign w:val="center"/>
          </w:tcPr>
          <w:p>
            <w:pPr>
              <w:adjustRightInd w:val="0"/>
              <w:snapToGrid w:val="0"/>
              <w:spacing w:line="400" w:lineRule="exact"/>
              <w:jc w:val="center"/>
              <w:rPr>
                <w:sz w:val="22"/>
                <w:szCs w:val="22"/>
              </w:rPr>
            </w:pPr>
          </w:p>
        </w:tc>
        <w:tc>
          <w:tcPr>
            <w:tcW w:w="1315" w:type="dxa"/>
            <w:vAlign w:val="center"/>
          </w:tcPr>
          <w:p>
            <w:pPr>
              <w:adjustRightInd w:val="0"/>
              <w:snapToGrid w:val="0"/>
              <w:spacing w:line="400" w:lineRule="exact"/>
              <w:jc w:val="center"/>
              <w:rPr>
                <w:sz w:val="22"/>
                <w:szCs w:val="22"/>
              </w:rPr>
            </w:pPr>
          </w:p>
        </w:tc>
        <w:tc>
          <w:tcPr>
            <w:tcW w:w="957" w:type="dxa"/>
            <w:vAlign w:val="center"/>
          </w:tcPr>
          <w:p>
            <w:pPr>
              <w:adjustRightInd w:val="0"/>
              <w:snapToGrid w:val="0"/>
              <w:spacing w:line="4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adjustRightInd w:val="0"/>
              <w:snapToGrid w:val="0"/>
              <w:spacing w:line="400" w:lineRule="exact"/>
              <w:jc w:val="center"/>
              <w:rPr>
                <w:sz w:val="22"/>
                <w:szCs w:val="22"/>
              </w:rPr>
            </w:pPr>
          </w:p>
        </w:tc>
        <w:tc>
          <w:tcPr>
            <w:tcW w:w="1287" w:type="dxa"/>
            <w:vAlign w:val="center"/>
          </w:tcPr>
          <w:p>
            <w:pPr>
              <w:adjustRightInd w:val="0"/>
              <w:snapToGrid w:val="0"/>
              <w:spacing w:line="400" w:lineRule="exact"/>
              <w:jc w:val="center"/>
              <w:rPr>
                <w:sz w:val="22"/>
                <w:szCs w:val="22"/>
              </w:rPr>
            </w:pPr>
          </w:p>
        </w:tc>
        <w:tc>
          <w:tcPr>
            <w:tcW w:w="2340" w:type="dxa"/>
            <w:vAlign w:val="center"/>
          </w:tcPr>
          <w:p>
            <w:pPr>
              <w:adjustRightInd w:val="0"/>
              <w:snapToGrid w:val="0"/>
              <w:spacing w:line="400" w:lineRule="exact"/>
              <w:jc w:val="center"/>
              <w:rPr>
                <w:sz w:val="22"/>
                <w:szCs w:val="22"/>
              </w:rPr>
            </w:pPr>
          </w:p>
        </w:tc>
        <w:tc>
          <w:tcPr>
            <w:tcW w:w="1404" w:type="dxa"/>
            <w:vAlign w:val="center"/>
          </w:tcPr>
          <w:p>
            <w:pPr>
              <w:adjustRightInd w:val="0"/>
              <w:snapToGrid w:val="0"/>
              <w:spacing w:line="400" w:lineRule="exact"/>
              <w:jc w:val="center"/>
              <w:rPr>
                <w:sz w:val="22"/>
                <w:szCs w:val="22"/>
              </w:rPr>
            </w:pPr>
          </w:p>
        </w:tc>
        <w:tc>
          <w:tcPr>
            <w:tcW w:w="1493" w:type="dxa"/>
            <w:vAlign w:val="center"/>
          </w:tcPr>
          <w:p>
            <w:pPr>
              <w:adjustRightInd w:val="0"/>
              <w:snapToGrid w:val="0"/>
              <w:spacing w:line="400" w:lineRule="exact"/>
              <w:jc w:val="center"/>
              <w:rPr>
                <w:sz w:val="22"/>
                <w:szCs w:val="22"/>
              </w:rPr>
            </w:pPr>
          </w:p>
        </w:tc>
        <w:tc>
          <w:tcPr>
            <w:tcW w:w="1315" w:type="dxa"/>
            <w:vAlign w:val="center"/>
          </w:tcPr>
          <w:p>
            <w:pPr>
              <w:adjustRightInd w:val="0"/>
              <w:snapToGrid w:val="0"/>
              <w:spacing w:line="400" w:lineRule="exact"/>
              <w:jc w:val="center"/>
              <w:rPr>
                <w:sz w:val="22"/>
                <w:szCs w:val="22"/>
              </w:rPr>
            </w:pPr>
          </w:p>
        </w:tc>
        <w:tc>
          <w:tcPr>
            <w:tcW w:w="957" w:type="dxa"/>
            <w:vAlign w:val="center"/>
          </w:tcPr>
          <w:p>
            <w:pPr>
              <w:adjustRightInd w:val="0"/>
              <w:snapToGrid w:val="0"/>
              <w:spacing w:line="4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adjustRightInd w:val="0"/>
              <w:snapToGrid w:val="0"/>
              <w:spacing w:line="400" w:lineRule="exact"/>
              <w:jc w:val="center"/>
              <w:rPr>
                <w:sz w:val="22"/>
                <w:szCs w:val="22"/>
              </w:rPr>
            </w:pPr>
          </w:p>
        </w:tc>
        <w:tc>
          <w:tcPr>
            <w:tcW w:w="1287" w:type="dxa"/>
            <w:vAlign w:val="center"/>
          </w:tcPr>
          <w:p>
            <w:pPr>
              <w:adjustRightInd w:val="0"/>
              <w:snapToGrid w:val="0"/>
              <w:spacing w:line="400" w:lineRule="exact"/>
              <w:jc w:val="center"/>
              <w:rPr>
                <w:sz w:val="22"/>
                <w:szCs w:val="22"/>
              </w:rPr>
            </w:pPr>
          </w:p>
        </w:tc>
        <w:tc>
          <w:tcPr>
            <w:tcW w:w="2340" w:type="dxa"/>
            <w:vAlign w:val="center"/>
          </w:tcPr>
          <w:p>
            <w:pPr>
              <w:adjustRightInd w:val="0"/>
              <w:snapToGrid w:val="0"/>
              <w:spacing w:line="400" w:lineRule="exact"/>
              <w:jc w:val="center"/>
              <w:rPr>
                <w:sz w:val="22"/>
                <w:szCs w:val="22"/>
              </w:rPr>
            </w:pPr>
          </w:p>
        </w:tc>
        <w:tc>
          <w:tcPr>
            <w:tcW w:w="1404" w:type="dxa"/>
            <w:vAlign w:val="center"/>
          </w:tcPr>
          <w:p>
            <w:pPr>
              <w:adjustRightInd w:val="0"/>
              <w:snapToGrid w:val="0"/>
              <w:spacing w:line="400" w:lineRule="exact"/>
              <w:jc w:val="center"/>
              <w:rPr>
                <w:sz w:val="22"/>
                <w:szCs w:val="22"/>
              </w:rPr>
            </w:pPr>
          </w:p>
        </w:tc>
        <w:tc>
          <w:tcPr>
            <w:tcW w:w="1493" w:type="dxa"/>
            <w:vAlign w:val="center"/>
          </w:tcPr>
          <w:p>
            <w:pPr>
              <w:adjustRightInd w:val="0"/>
              <w:snapToGrid w:val="0"/>
              <w:spacing w:line="400" w:lineRule="exact"/>
              <w:jc w:val="center"/>
              <w:rPr>
                <w:sz w:val="22"/>
                <w:szCs w:val="22"/>
              </w:rPr>
            </w:pPr>
          </w:p>
        </w:tc>
        <w:tc>
          <w:tcPr>
            <w:tcW w:w="1315" w:type="dxa"/>
            <w:vAlign w:val="center"/>
          </w:tcPr>
          <w:p>
            <w:pPr>
              <w:adjustRightInd w:val="0"/>
              <w:snapToGrid w:val="0"/>
              <w:spacing w:line="400" w:lineRule="exact"/>
              <w:jc w:val="center"/>
              <w:rPr>
                <w:sz w:val="22"/>
                <w:szCs w:val="22"/>
              </w:rPr>
            </w:pPr>
          </w:p>
        </w:tc>
        <w:tc>
          <w:tcPr>
            <w:tcW w:w="957" w:type="dxa"/>
            <w:vAlign w:val="center"/>
          </w:tcPr>
          <w:p>
            <w:pPr>
              <w:adjustRightInd w:val="0"/>
              <w:snapToGrid w:val="0"/>
              <w:spacing w:line="4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adjustRightInd w:val="0"/>
              <w:snapToGrid w:val="0"/>
              <w:spacing w:line="400" w:lineRule="exact"/>
              <w:jc w:val="center"/>
              <w:rPr>
                <w:sz w:val="22"/>
                <w:szCs w:val="22"/>
              </w:rPr>
            </w:pPr>
          </w:p>
        </w:tc>
        <w:tc>
          <w:tcPr>
            <w:tcW w:w="1287" w:type="dxa"/>
            <w:vAlign w:val="center"/>
          </w:tcPr>
          <w:p>
            <w:pPr>
              <w:adjustRightInd w:val="0"/>
              <w:snapToGrid w:val="0"/>
              <w:spacing w:line="400" w:lineRule="exact"/>
              <w:jc w:val="center"/>
              <w:rPr>
                <w:sz w:val="22"/>
                <w:szCs w:val="22"/>
              </w:rPr>
            </w:pPr>
          </w:p>
        </w:tc>
        <w:tc>
          <w:tcPr>
            <w:tcW w:w="2340" w:type="dxa"/>
            <w:vAlign w:val="center"/>
          </w:tcPr>
          <w:p>
            <w:pPr>
              <w:adjustRightInd w:val="0"/>
              <w:snapToGrid w:val="0"/>
              <w:spacing w:line="400" w:lineRule="exact"/>
              <w:jc w:val="center"/>
              <w:rPr>
                <w:sz w:val="22"/>
                <w:szCs w:val="22"/>
              </w:rPr>
            </w:pPr>
          </w:p>
        </w:tc>
        <w:tc>
          <w:tcPr>
            <w:tcW w:w="1404" w:type="dxa"/>
            <w:vAlign w:val="center"/>
          </w:tcPr>
          <w:p>
            <w:pPr>
              <w:adjustRightInd w:val="0"/>
              <w:snapToGrid w:val="0"/>
              <w:spacing w:line="400" w:lineRule="exact"/>
              <w:jc w:val="center"/>
              <w:rPr>
                <w:sz w:val="22"/>
                <w:szCs w:val="22"/>
              </w:rPr>
            </w:pPr>
          </w:p>
        </w:tc>
        <w:tc>
          <w:tcPr>
            <w:tcW w:w="1493" w:type="dxa"/>
            <w:vAlign w:val="center"/>
          </w:tcPr>
          <w:p>
            <w:pPr>
              <w:adjustRightInd w:val="0"/>
              <w:snapToGrid w:val="0"/>
              <w:spacing w:line="400" w:lineRule="exact"/>
              <w:jc w:val="center"/>
              <w:rPr>
                <w:sz w:val="22"/>
                <w:szCs w:val="22"/>
              </w:rPr>
            </w:pPr>
          </w:p>
        </w:tc>
        <w:tc>
          <w:tcPr>
            <w:tcW w:w="1315" w:type="dxa"/>
            <w:vAlign w:val="center"/>
          </w:tcPr>
          <w:p>
            <w:pPr>
              <w:adjustRightInd w:val="0"/>
              <w:snapToGrid w:val="0"/>
              <w:spacing w:line="400" w:lineRule="exact"/>
              <w:jc w:val="center"/>
              <w:rPr>
                <w:sz w:val="22"/>
                <w:szCs w:val="22"/>
              </w:rPr>
            </w:pPr>
          </w:p>
        </w:tc>
        <w:tc>
          <w:tcPr>
            <w:tcW w:w="957" w:type="dxa"/>
            <w:vAlign w:val="center"/>
          </w:tcPr>
          <w:p>
            <w:pPr>
              <w:adjustRightInd w:val="0"/>
              <w:snapToGrid w:val="0"/>
              <w:spacing w:line="400" w:lineRule="exact"/>
              <w:jc w:val="cente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pPr>
              <w:adjustRightInd w:val="0"/>
              <w:snapToGrid w:val="0"/>
              <w:spacing w:line="400" w:lineRule="exact"/>
              <w:jc w:val="center"/>
              <w:rPr>
                <w:sz w:val="22"/>
                <w:szCs w:val="22"/>
              </w:rPr>
            </w:pPr>
          </w:p>
        </w:tc>
        <w:tc>
          <w:tcPr>
            <w:tcW w:w="1287" w:type="dxa"/>
            <w:vAlign w:val="center"/>
          </w:tcPr>
          <w:p>
            <w:pPr>
              <w:adjustRightInd w:val="0"/>
              <w:snapToGrid w:val="0"/>
              <w:spacing w:line="400" w:lineRule="exact"/>
              <w:jc w:val="center"/>
              <w:rPr>
                <w:sz w:val="22"/>
                <w:szCs w:val="22"/>
              </w:rPr>
            </w:pPr>
          </w:p>
        </w:tc>
        <w:tc>
          <w:tcPr>
            <w:tcW w:w="2340" w:type="dxa"/>
            <w:vAlign w:val="center"/>
          </w:tcPr>
          <w:p>
            <w:pPr>
              <w:adjustRightInd w:val="0"/>
              <w:snapToGrid w:val="0"/>
              <w:spacing w:line="400" w:lineRule="exact"/>
              <w:jc w:val="center"/>
              <w:rPr>
                <w:sz w:val="22"/>
                <w:szCs w:val="22"/>
              </w:rPr>
            </w:pPr>
          </w:p>
        </w:tc>
        <w:tc>
          <w:tcPr>
            <w:tcW w:w="1404" w:type="dxa"/>
            <w:vAlign w:val="center"/>
          </w:tcPr>
          <w:p>
            <w:pPr>
              <w:adjustRightInd w:val="0"/>
              <w:snapToGrid w:val="0"/>
              <w:spacing w:line="400" w:lineRule="exact"/>
              <w:jc w:val="center"/>
              <w:rPr>
                <w:sz w:val="22"/>
                <w:szCs w:val="22"/>
              </w:rPr>
            </w:pPr>
          </w:p>
        </w:tc>
        <w:tc>
          <w:tcPr>
            <w:tcW w:w="1493" w:type="dxa"/>
            <w:vAlign w:val="center"/>
          </w:tcPr>
          <w:p>
            <w:pPr>
              <w:adjustRightInd w:val="0"/>
              <w:snapToGrid w:val="0"/>
              <w:spacing w:line="400" w:lineRule="exact"/>
              <w:jc w:val="center"/>
              <w:rPr>
                <w:sz w:val="22"/>
                <w:szCs w:val="22"/>
              </w:rPr>
            </w:pPr>
          </w:p>
        </w:tc>
        <w:tc>
          <w:tcPr>
            <w:tcW w:w="1315" w:type="dxa"/>
            <w:vAlign w:val="center"/>
          </w:tcPr>
          <w:p>
            <w:pPr>
              <w:adjustRightInd w:val="0"/>
              <w:snapToGrid w:val="0"/>
              <w:spacing w:line="400" w:lineRule="exact"/>
              <w:jc w:val="center"/>
              <w:rPr>
                <w:sz w:val="22"/>
                <w:szCs w:val="22"/>
              </w:rPr>
            </w:pPr>
          </w:p>
        </w:tc>
        <w:tc>
          <w:tcPr>
            <w:tcW w:w="957" w:type="dxa"/>
            <w:vAlign w:val="center"/>
          </w:tcPr>
          <w:p>
            <w:pPr>
              <w:adjustRightInd w:val="0"/>
              <w:snapToGrid w:val="0"/>
              <w:spacing w:line="400" w:lineRule="exact"/>
              <w:jc w:val="center"/>
              <w:rPr>
                <w:sz w:val="22"/>
                <w:szCs w:val="22"/>
              </w:rPr>
            </w:pPr>
          </w:p>
        </w:tc>
      </w:tr>
    </w:tbl>
    <w:p>
      <w:pPr>
        <w:adjustRightInd w:val="0"/>
        <w:snapToGrid w:val="0"/>
        <w:spacing w:line="400" w:lineRule="exact"/>
        <w:ind w:firstLine="560" w:firstLineChars="200"/>
        <w:rPr>
          <w:rFonts w:ascii="宋体" w:hAnsi="宋体" w:cs="宋体"/>
          <w:bCs/>
          <w:sz w:val="28"/>
          <w:szCs w:val="28"/>
        </w:rPr>
      </w:pPr>
      <w:r>
        <w:rPr>
          <w:rFonts w:hint="eastAsia" w:ascii="宋体" w:hAnsi="宋体" w:cs="宋体"/>
          <w:bCs/>
          <w:sz w:val="28"/>
          <w:szCs w:val="28"/>
        </w:rPr>
        <w:t>我方承诺，以上信息真实可靠，如填报的股东出资额、出资比例等与实际不符，视为放弃成交资格。</w:t>
      </w:r>
    </w:p>
    <w:p>
      <w:pPr>
        <w:adjustRightInd w:val="0"/>
        <w:snapToGrid w:val="0"/>
        <w:spacing w:line="400" w:lineRule="exact"/>
        <w:ind w:firstLine="560" w:firstLineChars="200"/>
        <w:rPr>
          <w:rFonts w:ascii="宋体" w:hAnsi="宋体" w:cs="宋体"/>
          <w:bCs/>
          <w:sz w:val="28"/>
          <w:szCs w:val="28"/>
        </w:rPr>
      </w:pP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备注：</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1.主要股东或出资人为法人的，填写法人全称及统一社会信用代码（尚未办理三证合一的填写组织机构代码）；为自然人的，填写自然人姓名和身份证号。</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2.出资方式填写货币、实物、工艺产权和非专利技术、土地使用权等。</w:t>
      </w:r>
    </w:p>
    <w:p>
      <w:pPr>
        <w:adjustRightInd w:val="0"/>
        <w:snapToGrid w:val="0"/>
        <w:spacing w:line="400" w:lineRule="exact"/>
        <w:ind w:firstLine="480" w:firstLineChars="200"/>
        <w:rPr>
          <w:rFonts w:ascii="宋体" w:hAnsi="宋体" w:cs="宋体"/>
          <w:bCs/>
          <w:sz w:val="24"/>
          <w:szCs w:val="24"/>
        </w:rPr>
      </w:pPr>
      <w:r>
        <w:rPr>
          <w:rFonts w:hint="eastAsia" w:ascii="宋体" w:hAnsi="宋体" w:cs="宋体"/>
          <w:bCs/>
          <w:sz w:val="24"/>
          <w:szCs w:val="24"/>
        </w:rPr>
        <w:t>3.投标供应商应按照占全部股份比例从大到小依次逐个股东填写，股东 数量多于10个的，填写前10名，不足10个的全部填写。</w:t>
      </w:r>
    </w:p>
    <w:p>
      <w:pPr>
        <w:adjustRightInd w:val="0"/>
        <w:snapToGrid w:val="0"/>
        <w:spacing w:line="400" w:lineRule="exact"/>
        <w:ind w:left="530" w:leftChars="200" w:hanging="110" w:hangingChars="50"/>
        <w:rPr>
          <w:sz w:val="22"/>
          <w:szCs w:val="22"/>
        </w:rPr>
      </w:pPr>
    </w:p>
    <w:p>
      <w:pPr>
        <w:adjustRightInd w:val="0"/>
        <w:snapToGrid w:val="0"/>
        <w:spacing w:line="400" w:lineRule="exact"/>
        <w:ind w:left="530" w:leftChars="200" w:hanging="110" w:hangingChars="50"/>
        <w:rPr>
          <w:sz w:val="22"/>
          <w:szCs w:val="22"/>
        </w:rPr>
      </w:pPr>
    </w:p>
    <w:p>
      <w:pPr>
        <w:adjustRightInd w:val="0"/>
        <w:snapToGrid w:val="0"/>
        <w:spacing w:line="400" w:lineRule="exact"/>
        <w:ind w:left="530" w:leftChars="200" w:hanging="110" w:hangingChars="50"/>
        <w:rPr>
          <w:sz w:val="22"/>
          <w:szCs w:val="22"/>
        </w:rPr>
      </w:pPr>
    </w:p>
    <w:p>
      <w:pPr>
        <w:adjustRightInd w:val="0"/>
        <w:snapToGrid w:val="0"/>
        <w:spacing w:line="400" w:lineRule="exact"/>
        <w:ind w:left="530" w:leftChars="200" w:hanging="110" w:hangingChars="50"/>
        <w:rPr>
          <w:sz w:val="22"/>
          <w:szCs w:val="22"/>
        </w:rPr>
      </w:pPr>
    </w:p>
    <w:p>
      <w:pPr>
        <w:spacing w:line="560" w:lineRule="exact"/>
        <w:ind w:firstLine="2940" w:firstLineChars="1400"/>
        <w:jc w:val="left"/>
        <w:rPr>
          <w:rFonts w:ascii="宋体" w:hAnsi="宋体" w:cs="宋体"/>
          <w:bCs/>
          <w:sz w:val="28"/>
          <w:szCs w:val="28"/>
          <w:lang w:val="zh-CN"/>
        </w:rPr>
      </w:pPr>
      <w:r>
        <w:rPr>
          <w:rFonts w:hint="eastAsia"/>
          <w:lang w:val="zh-CN"/>
        </w:rPr>
        <w:t xml:space="preserve"> </w:t>
      </w:r>
      <w:r>
        <w:rPr>
          <w:rFonts w:hint="eastAsia"/>
        </w:rPr>
        <w:t xml:space="preserve">         </w:t>
      </w:r>
      <w:r>
        <w:rPr>
          <w:rFonts w:hint="eastAsia" w:ascii="宋体" w:hAnsi="宋体" w:cs="宋体"/>
          <w:bCs/>
          <w:sz w:val="28"/>
          <w:szCs w:val="28"/>
        </w:rPr>
        <w:t>报价</w:t>
      </w:r>
      <w:r>
        <w:rPr>
          <w:rFonts w:hint="eastAsia" w:ascii="宋体" w:hAnsi="宋体" w:cs="宋体"/>
          <w:bCs/>
          <w:sz w:val="28"/>
          <w:szCs w:val="28"/>
          <w:lang w:val="zh-CN"/>
        </w:rPr>
        <w:t>供应商全称：（盖章）</w:t>
      </w:r>
    </w:p>
    <w:p>
      <w:pPr>
        <w:spacing w:line="560" w:lineRule="exact"/>
        <w:ind w:firstLine="560" w:firstLineChars="200"/>
        <w:jc w:val="center"/>
        <w:rPr>
          <w:rFonts w:ascii="宋体" w:hAnsi="宋体" w:cs="宋体"/>
          <w:bCs/>
          <w:sz w:val="28"/>
          <w:szCs w:val="28"/>
          <w:lang w:val="zh-CN"/>
        </w:rPr>
      </w:pPr>
      <w:r>
        <w:rPr>
          <w:rFonts w:hint="eastAsia" w:ascii="宋体" w:hAnsi="宋体" w:cs="宋体"/>
          <w:bCs/>
          <w:sz w:val="28"/>
          <w:szCs w:val="28"/>
          <w:lang w:val="zh-CN"/>
        </w:rPr>
        <w:t xml:space="preserve">                  法定代表人（或授权代表）：（签字）</w:t>
      </w:r>
    </w:p>
    <w:p>
      <w:pPr>
        <w:adjustRightInd w:val="0"/>
        <w:snapToGrid w:val="0"/>
        <w:spacing w:line="400" w:lineRule="exact"/>
        <w:ind w:firstLine="560" w:firstLineChars="200"/>
        <w:sectPr>
          <w:pgSz w:w="11906" w:h="16838"/>
          <w:pgMar w:top="1418" w:right="1134" w:bottom="1418" w:left="1418" w:header="851" w:footer="851" w:gutter="0"/>
          <w:cols w:space="720" w:num="1"/>
          <w:docGrid w:linePitch="388" w:charSpace="-1260"/>
        </w:sectPr>
      </w:pPr>
      <w:r>
        <w:rPr>
          <w:rFonts w:hint="eastAsia" w:ascii="宋体" w:hAnsi="宋体" w:cs="宋体"/>
          <w:bCs/>
          <w:sz w:val="28"/>
          <w:szCs w:val="28"/>
          <w:lang w:val="zh-CN"/>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6"/>
        <w:spacing w:before="120" w:beforeLines="50" w:after="120" w:afterLines="50" w:line="560" w:lineRule="exact"/>
        <w:rPr>
          <w:rFonts w:hint="default"/>
          <w:b w:val="0"/>
        </w:rPr>
      </w:pPr>
      <w:r>
        <w:rPr>
          <w:b w:val="0"/>
        </w:rPr>
        <w:t>附件3-6 供应商承诺声明</w:t>
      </w:r>
      <w:bookmarkEnd w:id="511"/>
      <w:bookmarkEnd w:id="512"/>
      <w:bookmarkEnd w:id="513"/>
      <w:bookmarkEnd w:id="514"/>
      <w:bookmarkEnd w:id="515"/>
      <w:bookmarkEnd w:id="516"/>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项目编号</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60" w:firstLineChars="20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60" w:firstLineChars="200"/>
        <w:rPr>
          <w:rFonts w:ascii="宋体" w:hAnsi="宋体"/>
          <w:bCs/>
          <w:sz w:val="28"/>
          <w:szCs w:val="28"/>
        </w:rPr>
      </w:pPr>
      <w:r>
        <w:rPr>
          <w:rFonts w:ascii="宋体" w:hAnsi="宋体"/>
          <w:bCs/>
          <w:sz w:val="28"/>
          <w:szCs w:val="28"/>
        </w:rPr>
        <w:t>1.如实编写</w:t>
      </w:r>
      <w:r>
        <w:rPr>
          <w:rFonts w:hint="eastAsia" w:ascii="宋体" w:hAnsi="宋体"/>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宋体" w:hAnsi="宋体"/>
          <w:bCs/>
          <w:sz w:val="28"/>
          <w:szCs w:val="28"/>
          <w:lang w:val="zh-CN"/>
        </w:rPr>
      </w:pPr>
      <w:r>
        <w:rPr>
          <w:rFonts w:ascii="宋体" w:hAnsi="宋体"/>
          <w:bCs/>
          <w:sz w:val="28"/>
          <w:szCs w:val="28"/>
        </w:rPr>
        <w:t>2.</w:t>
      </w:r>
      <w:r>
        <w:rPr>
          <w:rFonts w:hint="eastAsia" w:ascii="宋体" w:hAnsi="宋体"/>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3.</w:t>
      </w:r>
      <w:r>
        <w:rPr>
          <w:rFonts w:hint="eastAsia" w:ascii="宋体" w:hAnsi="宋体"/>
          <w:bCs/>
          <w:sz w:val="28"/>
          <w:szCs w:val="28"/>
        </w:rPr>
        <w:t>在提供报价文件或现场核查时，如存在伪造文件材料，提供虚假图片影像、业绩合同、材料数据等，造假或篡改相关数据及资产等情况，自愿放弃成交资格并无条件接受相应处罚。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4.谈判文件以及相关技术文件专室放置、专盘存储、专人管理。</w:t>
      </w:r>
    </w:p>
    <w:p>
      <w:pPr>
        <w:tabs>
          <w:tab w:val="left" w:pos="771"/>
        </w:tabs>
        <w:spacing w:line="560" w:lineRule="exact"/>
        <w:ind w:firstLine="560" w:firstLineChars="20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谈判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60" w:firstLineChars="20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60" w:firstLineChars="20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60" w:firstLineChars="200"/>
        <w:rPr>
          <w:rFonts w:ascii="宋体" w:hAnsi="宋体"/>
          <w:bCs/>
          <w:sz w:val="28"/>
          <w:szCs w:val="28"/>
        </w:rPr>
      </w:pPr>
      <w:bookmarkStart w:id="517" w:name="_Hlk150330080"/>
      <w:r>
        <w:rPr>
          <w:rFonts w:hint="eastAsia" w:ascii="宋体" w:hAnsi="宋体"/>
          <w:bCs/>
          <w:sz w:val="28"/>
          <w:szCs w:val="28"/>
        </w:rPr>
        <w:t>我单位提供的业绩证明材料中，合同缔约方不存在控股或管理关系</w:t>
      </w:r>
      <w:bookmarkEnd w:id="517"/>
      <w:r>
        <w:rPr>
          <w:rFonts w:hint="eastAsia" w:ascii="宋体" w:hAnsi="宋体"/>
          <w:bCs/>
          <w:sz w:val="28"/>
          <w:szCs w:val="28"/>
        </w:rPr>
        <w:t>。</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60" w:firstLineChars="200"/>
        <w:rPr>
          <w:rFonts w:ascii="宋体" w:hAnsi="宋体"/>
          <w:bCs/>
          <w:sz w:val="28"/>
          <w:szCs w:val="28"/>
        </w:rPr>
      </w:pPr>
      <w:r>
        <w:rPr>
          <w:rFonts w:hint="eastAsia"/>
          <w:bCs/>
          <w:sz w:val="28"/>
          <w:szCs w:val="28"/>
        </w:rPr>
        <w:t>我单位在参加本次采购活动</w:t>
      </w:r>
      <w:r>
        <w:rPr>
          <w:rFonts w:hint="eastAsia" w:asciiTheme="minorEastAsia" w:hAnsiTheme="minorEastAsia" w:eastAsiaTheme="minorEastAsia"/>
          <w:bCs/>
          <w:sz w:val="28"/>
          <w:szCs w:val="28"/>
        </w:rPr>
        <w:t>前</w:t>
      </w:r>
      <w:r>
        <w:rPr>
          <w:rFonts w:asciiTheme="minorEastAsia" w:hAnsiTheme="minorEastAsia" w:eastAsiaTheme="minorEastAsia"/>
          <w:bCs/>
          <w:sz w:val="28"/>
          <w:szCs w:val="28"/>
        </w:rPr>
        <w:t>3</w:t>
      </w:r>
      <w:r>
        <w:rPr>
          <w:rFonts w:hint="eastAsia"/>
          <w:bCs/>
          <w:sz w:val="28"/>
          <w:szCs w:val="28"/>
        </w:rPr>
        <w:t>年内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60" w:firstLineChars="20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60" w:firstLineChars="20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rPr>
          <w:lang w:val="zh-CN"/>
        </w:rPr>
      </w:pPr>
      <w:r>
        <w:rPr>
          <w:lang w:val="zh-CN"/>
        </w:rPr>
        <w:br w:type="page"/>
      </w:r>
    </w:p>
    <w:p>
      <w:pPr>
        <w:pStyle w:val="6"/>
        <w:spacing w:before="120" w:beforeLines="50" w:after="120" w:afterLines="50" w:line="560" w:lineRule="exact"/>
        <w:rPr>
          <w:rFonts w:hint="default"/>
          <w:b w:val="0"/>
          <w:lang w:val="zh-CN"/>
        </w:rPr>
      </w:pPr>
      <w:bookmarkStart w:id="518" w:name="_Toc17477"/>
      <w:bookmarkStart w:id="519" w:name="_Toc18710"/>
      <w:bookmarkStart w:id="520" w:name="_Toc112768484"/>
      <w:bookmarkStart w:id="521" w:name="_Toc2897"/>
      <w:bookmarkStart w:id="522" w:name="_Toc30315"/>
      <w:bookmarkStart w:id="523" w:name="_Toc30359"/>
      <w:r>
        <w:rPr>
          <w:b w:val="0"/>
          <w:lang w:val="zh-CN"/>
        </w:rPr>
        <w:t>附件3-</w:t>
      </w:r>
      <w:r>
        <w:rPr>
          <w:b w:val="0"/>
        </w:rPr>
        <w:t>7</w:t>
      </w:r>
      <w:r>
        <w:rPr>
          <w:b w:val="0"/>
          <w:lang w:val="zh-CN"/>
        </w:rPr>
        <w:t xml:space="preserve"> 纳税证明材料</w:t>
      </w:r>
      <w:bookmarkEnd w:id="518"/>
      <w:bookmarkEnd w:id="519"/>
      <w:bookmarkEnd w:id="520"/>
      <w:bookmarkEnd w:id="521"/>
      <w:bookmarkEnd w:id="522"/>
      <w:bookmarkEnd w:id="523"/>
    </w:p>
    <w:p>
      <w:pPr>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widowControl/>
        <w:ind w:firstLine="420" w:firstLineChars="200"/>
        <w:jc w:val="center"/>
        <w:rPr>
          <w:rFonts w:ascii="Arial" w:hAnsi="Arial" w:eastAsia="黑体"/>
          <w:bCs/>
          <w:sz w:val="28"/>
          <w:szCs w:val="28"/>
          <w:lang w:val="zh-CN"/>
        </w:rPr>
      </w:pPr>
      <w:r>
        <w:rPr>
          <w:bCs/>
          <w:lang w:val="zh-CN"/>
        </w:rPr>
        <w:br w:type="page"/>
      </w:r>
    </w:p>
    <w:p>
      <w:pPr>
        <w:pStyle w:val="6"/>
        <w:spacing w:before="120" w:beforeLines="50" w:after="120" w:afterLines="50" w:line="560" w:lineRule="exact"/>
        <w:rPr>
          <w:rFonts w:hint="default"/>
          <w:b w:val="0"/>
          <w:lang w:val="zh-CN"/>
        </w:rPr>
      </w:pPr>
      <w:bookmarkStart w:id="524" w:name="_Toc2712"/>
      <w:bookmarkStart w:id="525" w:name="_Toc6442"/>
      <w:bookmarkStart w:id="526" w:name="_Toc112768485"/>
      <w:bookmarkStart w:id="527" w:name="_Toc22007"/>
      <w:bookmarkStart w:id="528" w:name="_Toc7401"/>
      <w:bookmarkStart w:id="529" w:name="_Toc15691"/>
      <w:r>
        <w:rPr>
          <w:b w:val="0"/>
          <w:lang w:val="zh-CN"/>
        </w:rPr>
        <w:t>附件3-</w:t>
      </w:r>
      <w:r>
        <w:rPr>
          <w:b w:val="0"/>
        </w:rPr>
        <w:t>8</w:t>
      </w:r>
      <w:r>
        <w:rPr>
          <w:b w:val="0"/>
          <w:lang w:val="zh-CN"/>
        </w:rPr>
        <w:t xml:space="preserve"> 缴纳社会保障金证明材料</w:t>
      </w:r>
      <w:bookmarkEnd w:id="524"/>
      <w:bookmarkEnd w:id="525"/>
      <w:bookmarkEnd w:id="526"/>
      <w:bookmarkEnd w:id="527"/>
      <w:bookmarkEnd w:id="528"/>
      <w:bookmarkEnd w:id="529"/>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p>
      <w:pPr>
        <w:pStyle w:val="7"/>
        <w:rPr>
          <w:rFonts w:ascii="黑体" w:hAnsi="黑体" w:eastAsia="黑体" w:cs="黑体"/>
          <w:sz w:val="36"/>
          <w:szCs w:val="36"/>
          <w:lang w:val="zh-CN"/>
        </w:rPr>
      </w:pPr>
    </w:p>
    <w:p>
      <w:pPr>
        <w:rPr>
          <w:lang w:val="zh-CN"/>
        </w:rPr>
      </w:pPr>
    </w:p>
    <w:p>
      <w:pPr>
        <w:spacing w:line="360" w:lineRule="auto"/>
        <w:jc w:val="left"/>
      </w:pPr>
      <w:bookmarkStart w:id="530" w:name="_Toc112768487"/>
      <w:bookmarkStart w:id="531" w:name="_Toc17623"/>
      <w:bookmarkStart w:id="532" w:name="_Toc27304"/>
      <w:bookmarkStart w:id="533" w:name="_Toc32275"/>
      <w:bookmarkStart w:id="534" w:name="_Toc11020"/>
      <w:bookmarkStart w:id="535" w:name="_Toc27010"/>
      <w:r>
        <w:rPr>
          <w:lang w:val="zh-CN"/>
        </w:rPr>
        <w:br w:type="page"/>
      </w:r>
      <w:bookmarkEnd w:id="530"/>
      <w:bookmarkEnd w:id="531"/>
      <w:bookmarkEnd w:id="532"/>
      <w:bookmarkEnd w:id="533"/>
      <w:bookmarkEnd w:id="534"/>
      <w:bookmarkEnd w:id="535"/>
    </w:p>
    <w:p>
      <w:pPr>
        <w:pStyle w:val="6"/>
        <w:spacing w:before="120" w:beforeLines="50" w:after="120" w:afterLines="50" w:line="560" w:lineRule="exact"/>
        <w:rPr>
          <w:rFonts w:hint="default" w:ascii="黑体" w:hAnsi="黑体" w:cs="黑体"/>
          <w:b w:val="0"/>
          <w:lang w:val="zh-CN"/>
        </w:rPr>
      </w:pPr>
      <w:bookmarkStart w:id="536" w:name="_Toc30470"/>
      <w:r>
        <w:rPr>
          <w:rFonts w:ascii="黑体" w:hAnsi="黑体" w:cs="黑体"/>
          <w:b w:val="0"/>
        </w:rPr>
        <w:t>※</w:t>
      </w:r>
      <w:r>
        <w:rPr>
          <w:rFonts w:ascii="黑体" w:hAnsi="黑体" w:cs="黑体"/>
          <w:b w:val="0"/>
          <w:lang w:val="zh-CN"/>
        </w:rPr>
        <w:t>附件3-</w:t>
      </w:r>
      <w:r>
        <w:rPr>
          <w:rFonts w:ascii="黑体" w:hAnsi="黑体" w:cs="黑体"/>
          <w:b w:val="0"/>
        </w:rPr>
        <w:t>9</w:t>
      </w:r>
      <w:r>
        <w:rPr>
          <w:rFonts w:ascii="黑体" w:hAnsi="黑体" w:cs="黑体"/>
          <w:b w:val="0"/>
          <w:lang w:val="zh-CN"/>
        </w:rPr>
        <w:t xml:space="preserve"> </w:t>
      </w:r>
      <w:r>
        <w:rPr>
          <w:rFonts w:ascii="黑体" w:hAnsi="黑体" w:cs="黑体"/>
          <w:b w:val="0"/>
        </w:rPr>
        <w:t>其他资料</w:t>
      </w:r>
      <w:bookmarkEnd w:id="536"/>
    </w:p>
    <w:p>
      <w:pPr>
        <w:jc w:val="center"/>
        <w:rPr>
          <w:rFonts w:ascii="黑体" w:hAnsi="黑体" w:eastAsia="黑体" w:cs="黑体"/>
          <w:sz w:val="36"/>
          <w:szCs w:val="36"/>
        </w:rPr>
      </w:pPr>
      <w:r>
        <w:rPr>
          <w:rFonts w:hint="eastAsia" w:ascii="黑体" w:hAnsi="黑体" w:eastAsia="黑体" w:cs="黑体"/>
          <w:sz w:val="36"/>
          <w:szCs w:val="36"/>
        </w:rPr>
        <w:t>其他资料</w:t>
      </w:r>
      <w:bookmarkStart w:id="537" w:name="_Hlk118451904"/>
    </w:p>
    <w:bookmarkEnd w:id="537"/>
    <w:p>
      <w:pPr>
        <w:spacing w:before="120" w:beforeLines="50"/>
        <w:jc w:val="center"/>
        <w:rPr>
          <w:sz w:val="28"/>
          <w:szCs w:val="28"/>
        </w:rPr>
      </w:pPr>
      <w:r>
        <w:rPr>
          <w:rFonts w:hint="eastAsia"/>
          <w:sz w:val="28"/>
          <w:szCs w:val="28"/>
        </w:rPr>
        <w:t>（报价供应商根据谈判文件规定的资格要求，自行添加其他资料）</w:t>
      </w:r>
    </w:p>
    <w:p>
      <w:pPr>
        <w:jc w:val="center"/>
        <w:rPr>
          <w:rFonts w:ascii="黑体" w:hAnsi="黑体" w:eastAsia="黑体" w:cs="黑体"/>
          <w:sz w:val="36"/>
          <w:szCs w:val="36"/>
        </w:rPr>
      </w:pPr>
    </w:p>
    <w:p/>
    <w:sectPr>
      <w:pgSz w:w="11906" w:h="16838"/>
      <w:pgMar w:top="1418" w:right="991" w:bottom="1418" w:left="1418" w:header="851" w:footer="851" w:gutter="0"/>
      <w:cols w:space="720" w:num="1"/>
      <w:docGrid w:linePitch="388" w:charSpace="-12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楷体_GB2312" w:hAnsi="华文中宋"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楷体_GB2312" w:eastAsia="楷体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24978350" o:spid="_x0000_s1026" o:spt="136" type="#_x0000_t136" style="position:absolute;left:0pt;height:219.8pt;width:439.6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24978349" o:spid="_x0000_s1025" o:spt="136" type="#_x0000_t136" style="position:absolute;left:0pt;height:219.8pt;width:439.6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rPr>
        <w:rFonts w:ascii="楷体_GB2312" w:eastAsia="楷体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24978356" o:spid="_x0000_s1028" o:spt="136" type="#_x0000_t136" style="position:absolute;left:0pt;height:219.8pt;width:439.6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24978355" o:spid="_x0000_s1027" o:spt="136" type="#_x0000_t136" style="position:absolute;left:0pt;height:219.8pt;width:439.6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246766"/>
    <w:multiLevelType w:val="singleLevel"/>
    <w:tmpl w:val="27246766"/>
    <w:lvl w:ilvl="0" w:tentative="0">
      <w:start w:val="3"/>
      <w:numFmt w:val="chineseCounting"/>
      <w:suff w:val="nothing"/>
      <w:lvlText w:val="%1、"/>
      <w:lvlJc w:val="left"/>
      <w:rPr>
        <w:rFonts w:hint="eastAsia"/>
      </w:rPr>
    </w:lvl>
  </w:abstractNum>
  <w:abstractNum w:abstractNumId="1">
    <w:nsid w:val="2C78EB3F"/>
    <w:multiLevelType w:val="singleLevel"/>
    <w:tmpl w:val="2C78EB3F"/>
    <w:lvl w:ilvl="0" w:tentative="0">
      <w:start w:val="2"/>
      <w:numFmt w:val="decimal"/>
      <w:lvlText w:val="%1."/>
      <w:lvlJc w:val="left"/>
      <w:pPr>
        <w:tabs>
          <w:tab w:val="left" w:pos="312"/>
        </w:tabs>
      </w:pPr>
    </w:lvl>
  </w:abstractNum>
  <w:abstractNum w:abstractNumId="2">
    <w:nsid w:val="531AADF2"/>
    <w:multiLevelType w:val="singleLevel"/>
    <w:tmpl w:val="531AADF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56fbaee0-f1c6-4e0c-94e1-3d1b0b29c1dd"/>
  </w:docVars>
  <w:rsids>
    <w:rsidRoot w:val="00130FB5"/>
    <w:rsid w:val="00084EB0"/>
    <w:rsid w:val="000D2B9D"/>
    <w:rsid w:val="00130FB5"/>
    <w:rsid w:val="00161A70"/>
    <w:rsid w:val="002826FF"/>
    <w:rsid w:val="003D01B6"/>
    <w:rsid w:val="003F4791"/>
    <w:rsid w:val="00685666"/>
    <w:rsid w:val="006B2358"/>
    <w:rsid w:val="00734B11"/>
    <w:rsid w:val="00770B45"/>
    <w:rsid w:val="007B72AC"/>
    <w:rsid w:val="007F318B"/>
    <w:rsid w:val="00826948"/>
    <w:rsid w:val="00846B13"/>
    <w:rsid w:val="00855044"/>
    <w:rsid w:val="00860EE6"/>
    <w:rsid w:val="00A43F5D"/>
    <w:rsid w:val="00A64236"/>
    <w:rsid w:val="00AD7DEE"/>
    <w:rsid w:val="00B86190"/>
    <w:rsid w:val="00C651B4"/>
    <w:rsid w:val="00CC2A95"/>
    <w:rsid w:val="00CF690C"/>
    <w:rsid w:val="00E0735D"/>
    <w:rsid w:val="00E350EF"/>
    <w:rsid w:val="00E511BA"/>
    <w:rsid w:val="00E872D7"/>
    <w:rsid w:val="00EA0EA1"/>
    <w:rsid w:val="00F01F29"/>
    <w:rsid w:val="063D4DB4"/>
    <w:rsid w:val="08D43E0D"/>
    <w:rsid w:val="0ABC7DED"/>
    <w:rsid w:val="0C810997"/>
    <w:rsid w:val="0FAC206C"/>
    <w:rsid w:val="109E2CBA"/>
    <w:rsid w:val="124F1CDC"/>
    <w:rsid w:val="19CD31B4"/>
    <w:rsid w:val="1D127FCB"/>
    <w:rsid w:val="23266F64"/>
    <w:rsid w:val="24AD6C39"/>
    <w:rsid w:val="29906B69"/>
    <w:rsid w:val="38373420"/>
    <w:rsid w:val="3DC70D32"/>
    <w:rsid w:val="3EB570DA"/>
    <w:rsid w:val="40A162EF"/>
    <w:rsid w:val="469659E2"/>
    <w:rsid w:val="4B007631"/>
    <w:rsid w:val="4E0E6442"/>
    <w:rsid w:val="4EEA0D24"/>
    <w:rsid w:val="501F5AE2"/>
    <w:rsid w:val="505A2104"/>
    <w:rsid w:val="53E2516F"/>
    <w:rsid w:val="600A2D7C"/>
    <w:rsid w:val="63375C71"/>
    <w:rsid w:val="639743D5"/>
    <w:rsid w:val="68246F22"/>
    <w:rsid w:val="750951B1"/>
    <w:rsid w:val="792606C3"/>
    <w:rsid w:val="7B162232"/>
    <w:rsid w:val="7DEE7682"/>
    <w:rsid w:val="7E2C7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cs="Times New Roman"/>
      <w:b/>
      <w:bCs/>
      <w:kern w:val="0"/>
      <w:sz w:val="24"/>
      <w:szCs w:val="2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w:basedOn w:val="1"/>
    <w:next w:val="1"/>
    <w:qFormat/>
    <w:uiPriority w:val="99"/>
    <w:pPr>
      <w:spacing w:after="120" w:line="275" w:lineRule="atLeast"/>
      <w:textAlignment w:val="baseline"/>
    </w:pPr>
  </w:style>
  <w:style w:type="paragraph" w:styleId="7">
    <w:name w:val="Body Text"/>
    <w:basedOn w:val="1"/>
    <w:next w:val="1"/>
    <w:qFormat/>
    <w:uiPriority w:val="0"/>
    <w:rPr>
      <w:kern w:val="0"/>
      <w:szCs w:val="24"/>
    </w:rPr>
  </w:style>
  <w:style w:type="paragraph" w:styleId="8">
    <w:name w:val="Plain Text"/>
    <w:basedOn w:val="1"/>
    <w:qFormat/>
    <w:uiPriority w:val="0"/>
    <w:rPr>
      <w:rFonts w:ascii="宋体" w:hAnsi="Courier New" w:cs="Courier New"/>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spacing w:line="360" w:lineRule="auto"/>
    </w:pPr>
    <w:rPr>
      <w:rFonts w:eastAsia="方正小标宋简体"/>
      <w:sz w:val="32"/>
    </w:rPr>
  </w:style>
  <w:style w:type="paragraph" w:styleId="12">
    <w:name w:val="Normal (Web)"/>
    <w:basedOn w:val="1"/>
    <w:qFormat/>
    <w:uiPriority w:val="0"/>
    <w:pPr>
      <w:spacing w:beforeAutospacing="1" w:afterAutospacing="1"/>
      <w:jc w:val="left"/>
    </w:pPr>
    <w:rPr>
      <w:kern w:val="0"/>
      <w:sz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99"/>
    <w:rPr>
      <w:color w:val="136EC2"/>
      <w:u w:val="single"/>
    </w:rPr>
  </w:style>
  <w:style w:type="paragraph" w:customStyle="1" w:styleId="18">
    <w:name w:val="列出段落1"/>
    <w:basedOn w:val="1"/>
    <w:qFormat/>
    <w:uiPriority w:val="0"/>
    <w:pPr>
      <w:ind w:firstLine="420" w:firstLineChars="200"/>
    </w:pPr>
    <w:rPr>
      <w:kern w:val="0"/>
      <w:sz w:val="24"/>
    </w:rPr>
  </w:style>
  <w:style w:type="paragraph" w:styleId="19">
    <w:name w:val="List Paragraph"/>
    <w:basedOn w:val="1"/>
    <w:qFormat/>
    <w:uiPriority w:val="34"/>
    <w:pPr>
      <w:ind w:firstLine="420" w:firstLineChars="200"/>
    </w:pPr>
  </w:style>
  <w:style w:type="paragraph" w:customStyle="1" w:styleId="20">
    <w:name w:val="表内-宋"/>
    <w:basedOn w:val="1"/>
    <w:qFormat/>
    <w:uiPriority w:val="0"/>
    <w:pPr>
      <w:spacing w:line="360" w:lineRule="exact"/>
      <w:jc w:val="left"/>
    </w:pPr>
    <w:rPr>
      <w:rFonts w:hint="eastAsia" w:ascii="宋体" w:hAnsi="宋体" w:cs="仿宋_GB2312"/>
      <w:sz w:val="24"/>
      <w:szCs w:val="24"/>
    </w:rPr>
  </w:style>
  <w:style w:type="paragraph" w:customStyle="1" w:styleId="21">
    <w:name w:val="格式标4"/>
    <w:basedOn w:val="1"/>
    <w:next w:val="22"/>
    <w:qFormat/>
    <w:uiPriority w:val="0"/>
    <w:pPr>
      <w:keepNext/>
      <w:keepLines/>
      <w:ind w:firstLine="560"/>
      <w:jc w:val="left"/>
      <w:outlineLvl w:val="3"/>
    </w:pPr>
    <w:rPr>
      <w:rFonts w:hint="eastAsia" w:ascii="Times New Roman" w:hAnsi="Times New Roman" w:eastAsia="黑体"/>
    </w:rPr>
  </w:style>
  <w:style w:type="paragraph" w:customStyle="1" w:styleId="22">
    <w:name w:val="格式标3"/>
    <w:basedOn w:val="1"/>
    <w:next w:val="1"/>
    <w:qFormat/>
    <w:uiPriority w:val="0"/>
    <w:pPr>
      <w:keepNext/>
      <w:keepLines/>
      <w:jc w:val="left"/>
      <w:outlineLvl w:val="2"/>
    </w:pPr>
    <w:rPr>
      <w:rFonts w:eastAsia="黑体"/>
    </w:rPr>
  </w:style>
  <w:style w:type="paragraph" w:customStyle="1" w:styleId="23">
    <w:name w:val="副标题-正"/>
    <w:basedOn w:val="1"/>
    <w:next w:val="1"/>
    <w:qFormat/>
    <w:uiPriority w:val="0"/>
    <w:pPr>
      <w:spacing w:before="100" w:beforeLines="100"/>
      <w:jc w:val="center"/>
    </w:pPr>
    <w:rPr>
      <w:rFonts w:eastAsia="方正小标宋简体"/>
      <w:sz w:val="44"/>
      <w:szCs w:val="44"/>
    </w:rPr>
  </w:style>
  <w:style w:type="paragraph" w:customStyle="1" w:styleId="24">
    <w:name w:val="无缩进15"/>
    <w:basedOn w:val="1"/>
    <w:next w:val="1"/>
    <w:qFormat/>
    <w:uiPriority w:val="0"/>
    <w:pPr>
      <w:spacing w:line="300" w:lineRule="exact"/>
    </w:pPr>
  </w:style>
  <w:style w:type="paragraph" w:customStyle="1" w:styleId="25">
    <w:name w:val="副标题【正】"/>
    <w:basedOn w:val="1"/>
    <w:next w:val="1"/>
    <w:qFormat/>
    <w:uiPriority w:val="0"/>
    <w:pPr>
      <w:spacing w:line="360" w:lineRule="auto"/>
      <w:jc w:val="center"/>
    </w:pPr>
    <w:rPr>
      <w:b/>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5"/>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28961</Words>
  <Characters>30185</Characters>
  <Lines>255</Lines>
  <Paragraphs>71</Paragraphs>
  <TotalTime>58</TotalTime>
  <ScaleCrop>false</ScaleCrop>
  <LinksUpToDate>false</LinksUpToDate>
  <CharactersWithSpaces>33329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2024-03-18T08:06:00Z</dcterms:created>
  <dc:creator>Administrator</dc:creator>
  <cp:lastModifiedBy>哼</cp:lastModifiedBy>
  <dcterms:modified xsi:type="dcterms:W3CDTF">2024-03-29T06:52:00Z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E5511F0AF15243938324D5627DF90D93</vt:lpwstr>
  </property>
</Properties>
</file>