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动物核心体温胶囊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第一部分</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动物核心体温胶囊</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lang w:val="en-US" w:eastAsia="zh-CN"/>
        </w:rPr>
        <w:t>6</w:t>
      </w:r>
      <w:r>
        <w:rPr>
          <w:rFonts w:hint="eastAsia"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5</w:t>
      </w:r>
      <w:r>
        <w:rPr>
          <w:rFonts w:hint="eastAsia" w:ascii="Times New Roman" w:hAnsi="Times New Roman" w:eastAsia="黑体" w:cs="Times New Roman"/>
          <w:kern w:val="2"/>
          <w:sz w:val="28"/>
          <w:szCs w:val="28"/>
          <w:u w:val="single"/>
        </w:rPr>
        <w:t>0万元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动物核心体温胶囊</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tcPr>
          <w:p>
            <w:pPr>
              <w:adjustRightInd w:val="0"/>
              <w:snapToGrid w:val="0"/>
              <w:spacing w:line="400" w:lineRule="exact"/>
              <w:jc w:val="center"/>
              <w:rPr>
                <w:rFonts w:hint="eastAsia" w:ascii="Times New Roman" w:hAnsi="Times New Roman" w:eastAsia="仿宋_GB2312" w:cs="Times New Roman"/>
                <w:kern w:val="2"/>
                <w:sz w:val="24"/>
                <w:szCs w:val="24"/>
                <w:lang w:eastAsia="zh-CN"/>
              </w:rPr>
            </w:pPr>
            <w:r>
              <w:rPr>
                <w:rFonts w:hint="eastAsia" w:ascii="Times New Roman" w:hAnsi="Times New Roman" w:eastAsia="仿宋_GB2312" w:cs="Times New Roman"/>
                <w:kern w:val="2"/>
                <w:sz w:val="24"/>
                <w:szCs w:val="24"/>
                <w:lang w:val="en-US" w:eastAsia="zh-CN"/>
              </w:rPr>
              <w:t>1</w:t>
            </w:r>
          </w:p>
        </w:tc>
        <w:tc>
          <w:tcPr>
            <w:tcW w:w="837" w:type="pct"/>
            <w:shd w:val="clear" w:color="auto" w:fill="auto"/>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套</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2024年5月8日。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2024年5月15日12时00分（北京时间）。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动物核心体温胶囊</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套</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lang w:val="en-US" w:eastAsia="zh-CN"/>
              </w:rPr>
              <w:t>1</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Times New Roman" w:hAnsi="Times New Roman" w:cs="Times New Roman"/>
                <w:kern w:val="2"/>
              </w:rPr>
            </w:pP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after="0" w:line="579" w:lineRule="exact"/>
        <w:ind w:left="0" w:leftChars="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用于实时监测动物体内/体表温度。</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所供产品符合国家和国际行业标准。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p>
      <w:pPr>
        <w:pStyle w:val="18"/>
        <w:spacing w:after="0" w:line="579"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所供产品需满足以下技术参数：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pPr>
            <w:r>
              <w:rPr>
                <w:rFonts w:hint="eastAsia"/>
              </w:rPr>
              <w:t>适用于多种动物，包括小鼠、大鼠、豚鼠、家兔、犬、猴等，最小动物体重20g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rPr>
              <w:t>采样间隔：1min、2min、5min、15min、1h可选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精确度：0.2℃，温度校准范围：25-45℃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rPr>
              <w:t>可同时监测≥8只动物温度数据，主机可存储来自每个胶囊的多达150000组数据；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rPr>
              <w:t>可口服（视动物大小而定）或植入使用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参数6</w:t>
            </w:r>
          </w:p>
        </w:tc>
        <w:tc>
          <w:tcPr>
            <w:tcW w:w="5991" w:type="dxa"/>
            <w:vAlign w:val="center"/>
          </w:tcPr>
          <w:p>
            <w:pPr>
              <w:snapToGrid w:val="0"/>
              <w:rPr>
                <w:rFonts w:ascii="宋体" w:hAnsi="宋体"/>
              </w:rPr>
            </w:pPr>
            <w:r>
              <w:rPr>
                <w:rFonts w:hint="eastAsia" w:ascii="宋体" w:hAnsi="宋体"/>
              </w:rPr>
              <w:t>数据传输距离1-3m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rPr>
                <w:rFonts w:ascii="宋体" w:hAnsi="宋体"/>
              </w:rPr>
            </w:pPr>
            <w:r>
              <w:rPr>
                <w:rFonts w:hint="eastAsia" w:ascii="宋体" w:hAnsi="宋体"/>
              </w:rPr>
              <w:t>胶囊寿命：≥20天（根据1次/ min采样间隔而定）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ascii="宋体" w:hAnsi="宋体"/>
              </w:rPr>
            </w:pPr>
            <w:r>
              <w:rPr>
                <w:rFonts w:hint="eastAsia" w:ascii="宋体" w:hAnsi="宋体"/>
              </w:rPr>
              <w:t>每个胶囊可保存≥2000组数据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参数9</w:t>
            </w:r>
          </w:p>
        </w:tc>
        <w:tc>
          <w:tcPr>
            <w:tcW w:w="5991" w:type="dxa"/>
            <w:vAlign w:val="center"/>
          </w:tcPr>
          <w:p>
            <w:pPr>
              <w:snapToGrid w:val="0"/>
              <w:rPr>
                <w:rFonts w:ascii="宋体" w:hAnsi="宋体"/>
              </w:rPr>
            </w:pPr>
            <w:r>
              <w:rPr>
                <w:rFonts w:hint="eastAsia" w:ascii="宋体" w:hAnsi="宋体"/>
              </w:rPr>
              <w:t>胶囊可去激活、再激活、反复消毒再利用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参数10</w:t>
            </w:r>
          </w:p>
        </w:tc>
        <w:tc>
          <w:tcPr>
            <w:tcW w:w="5991" w:type="dxa"/>
            <w:vAlign w:val="center"/>
          </w:tcPr>
          <w:p>
            <w:pPr>
              <w:snapToGrid w:val="0"/>
            </w:pPr>
            <w:r>
              <w:rPr>
                <w:rFonts w:hint="eastAsia"/>
              </w:rPr>
              <w:t>数据可导出分析软件观察体温变化趋势，用于后续分析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w:t>
            </w:r>
          </w:p>
        </w:tc>
        <w:tc>
          <w:tcPr>
            <w:tcW w:w="5991" w:type="dxa"/>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配置1</w:t>
            </w:r>
          </w:p>
        </w:tc>
        <w:tc>
          <w:tcPr>
            <w:tcW w:w="5991" w:type="dxa"/>
            <w:vAlign w:val="center"/>
          </w:tcPr>
          <w:p>
            <w:pPr>
              <w:snapToGrid w:val="0"/>
              <w:rPr>
                <w:rFonts w:ascii="宋体" w:hAnsi="宋体"/>
              </w:rPr>
            </w:pPr>
            <w:r>
              <w:rPr>
                <w:rFonts w:hint="eastAsia" w:ascii="宋体" w:hAnsi="宋体"/>
              </w:rPr>
              <w:t>核心体温监测主机及软件1套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配置2</w:t>
            </w:r>
          </w:p>
        </w:tc>
        <w:tc>
          <w:tcPr>
            <w:tcW w:w="5991" w:type="dxa"/>
            <w:vAlign w:val="center"/>
          </w:tcPr>
          <w:p>
            <w:pPr>
              <w:snapToGrid w:val="0"/>
              <w:rPr>
                <w:rFonts w:ascii="宋体" w:hAnsi="宋体"/>
              </w:rPr>
            </w:pPr>
            <w:r>
              <w:rPr>
                <w:rFonts w:hint="eastAsia" w:ascii="宋体" w:hAnsi="宋体"/>
              </w:rPr>
              <w:t>体温胶囊8个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配置3</w:t>
            </w:r>
          </w:p>
        </w:tc>
        <w:tc>
          <w:tcPr>
            <w:tcW w:w="5991" w:type="dxa"/>
            <w:vAlign w:val="center"/>
          </w:tcPr>
          <w:p>
            <w:pPr>
              <w:snapToGrid w:val="0"/>
              <w:rPr>
                <w:rFonts w:hint="eastAsia" w:ascii="宋体" w:hAnsi="宋体"/>
              </w:rPr>
            </w:pPr>
            <w:r>
              <w:rPr>
                <w:rFonts w:hint="eastAsia" w:ascii="宋体" w:hAnsi="宋体"/>
              </w:rPr>
              <w:t>胶囊激活器1台</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hint="eastAsia" w:ascii="Times New Roman" w:hAnsi="Times New Roman" w:eastAsia="仿宋_GB2312" w:cs="Times New Roman"/>
          <w:kern w:val="2"/>
          <w:sz w:val="32"/>
          <w:szCs w:val="28"/>
          <w:lang w:val="en-US" w:eastAsia="zh-CN"/>
        </w:rPr>
        <w:t>1</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lang w:val="en-US" w:eastAsia="zh-CN"/>
        </w:rPr>
        <w:t>一</w:t>
      </w:r>
      <w:r>
        <w:rPr>
          <w:rFonts w:ascii="Times New Roman" w:hAnsi="Times New Roman" w:eastAsia="仿宋_GB2312" w:cs="Times New Roman"/>
          <w:kern w:val="2"/>
          <w:sz w:val="32"/>
          <w:szCs w:val="28"/>
        </w:rPr>
        <w:t>年，质保期满后支付剩下的百分之五。</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5"/>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spacing w:before="194" w:beforeLines="50" w:after="194"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225"/>
        <w:gridCol w:w="835"/>
        <w:gridCol w:w="1296"/>
        <w:gridCol w:w="765"/>
        <w:gridCol w:w="978"/>
        <w:gridCol w:w="1047"/>
        <w:gridCol w:w="714"/>
        <w:gridCol w:w="714"/>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生产</w:t>
            </w:r>
            <w:r>
              <w:rPr>
                <w:sz w:val="24"/>
              </w:rPr>
              <w:t>厂家</w:t>
            </w:r>
            <w:r>
              <w:rPr>
                <w:rFonts w:hint="eastAsia"/>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3"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jc w:val="left"/>
              <w:rPr>
                <w:snapToGrid w:val="0"/>
                <w:sz w:val="24"/>
              </w:rPr>
            </w:pPr>
            <w:r>
              <w:rPr>
                <w:sz w:val="24"/>
              </w:rPr>
              <w:t>备注</w:t>
            </w:r>
            <w:r>
              <w:rPr>
                <w:rFonts w:hint="eastAsia"/>
                <w:sz w:val="24"/>
              </w:rPr>
              <w:t>：本表作为物资验收的依据，务必罗列所有产品，并标明生产厂家或品牌、规格型号、单位和数量等。</w:t>
            </w:r>
          </w:p>
        </w:tc>
      </w:tr>
    </w:tbl>
    <w:p>
      <w:pPr>
        <w:rPr>
          <w:snapToGrid w:val="0"/>
          <w:sz w:val="32"/>
          <w:szCs w:val="32"/>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rPr>
          <w:lang w:val="zh-CN"/>
        </w:rPr>
      </w:pPr>
    </w:p>
    <w:p>
      <w:pPr>
        <w:rPr>
          <w:b/>
          <w:sz w:val="44"/>
          <w:szCs w:val="44"/>
        </w:rPr>
      </w:pPr>
      <w:r>
        <w:rPr>
          <w:b/>
          <w:sz w:val="44"/>
          <w:szCs w:val="44"/>
        </w:rPr>
        <w:br w:type="page"/>
      </w:r>
    </w:p>
    <w:p>
      <w:pPr>
        <w:spacing w:before="194" w:beforeLines="50" w:after="194"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易损易耗件清单（主要零配件清单）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9"/>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41"/>
        <w:gridCol w:w="1227"/>
        <w:gridCol w:w="7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生产厂家</w:t>
            </w:r>
          </w:p>
        </w:tc>
        <w:tc>
          <w:tcPr>
            <w:tcW w:w="7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1</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3</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4</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kern w:val="0"/>
                <w:szCs w:val="21"/>
              </w:rPr>
              <w:t>5</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r>
              <w:rPr>
                <w:rFonts w:hint="eastAsia" w:asciiTheme="minorEastAsia" w:hAnsiTheme="minorEastAsia" w:eastAsiaTheme="minorEastAsia" w:cstheme="minorEastAsia"/>
                <w:sz w:val="24"/>
              </w:rPr>
              <w:t>6</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Cs/>
                <w:sz w:val="24"/>
              </w:rPr>
            </w:pPr>
          </w:p>
        </w:tc>
        <w:tc>
          <w:tcPr>
            <w:tcW w:w="1241" w:type="dxa"/>
            <w:tcBorders>
              <w:top w:val="single" w:color="auto" w:sz="4" w:space="0"/>
              <w:left w:val="single" w:color="auto" w:sz="4" w:space="0"/>
              <w:bottom w:val="single" w:color="auto" w:sz="4" w:space="0"/>
              <w:right w:val="single" w:color="auto" w:sz="4" w:space="0"/>
            </w:tcBorders>
          </w:tcPr>
          <w:p>
            <w:pPr>
              <w:rPr>
                <w:bCs/>
                <w:sz w:val="24"/>
              </w:rPr>
            </w:pPr>
          </w:p>
        </w:tc>
        <w:tc>
          <w:tcPr>
            <w:tcW w:w="1227" w:type="dxa"/>
            <w:tcBorders>
              <w:top w:val="single" w:color="auto" w:sz="4" w:space="0"/>
              <w:left w:val="single" w:color="auto" w:sz="4" w:space="0"/>
              <w:bottom w:val="single" w:color="auto" w:sz="4" w:space="0"/>
              <w:right w:val="single" w:color="auto" w:sz="4" w:space="0"/>
            </w:tcBorders>
          </w:tcPr>
          <w:p>
            <w:pPr>
              <w:rPr>
                <w:bCs/>
                <w:sz w:val="24"/>
              </w:rPr>
            </w:pP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
          <w:sz w:val="44"/>
          <w:szCs w:val="44"/>
        </w:rPr>
      </w:pPr>
      <w:bookmarkStart w:id="0" w:name="_GoBack"/>
      <w:bookmarkEnd w:id="0"/>
      <w:r>
        <w:rPr>
          <w:b/>
          <w:sz w:val="44"/>
          <w:szCs w:val="44"/>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8DA6CE0"/>
    <w:rsid w:val="1CF739BD"/>
    <w:rsid w:val="1EA164D8"/>
    <w:rsid w:val="38237904"/>
    <w:rsid w:val="39924BE7"/>
    <w:rsid w:val="47F82897"/>
    <w:rsid w:val="55346855"/>
    <w:rsid w:val="5F19244E"/>
    <w:rsid w:val="6C844649"/>
    <w:rsid w:val="720E691A"/>
    <w:rsid w:val="79B94935"/>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5">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6">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7">
    <w:name w:val="Document Map"/>
    <w:basedOn w:val="1"/>
    <w:link w:val="59"/>
    <w:semiHidden/>
    <w:unhideWhenUsed/>
    <w:uiPriority w:val="99"/>
    <w:rPr>
      <w:rFonts w:ascii="宋体"/>
      <w:sz w:val="18"/>
      <w:szCs w:val="18"/>
    </w:rPr>
  </w:style>
  <w:style w:type="paragraph" w:styleId="8">
    <w:name w:val="Body Text"/>
    <w:basedOn w:val="1"/>
    <w:link w:val="33"/>
    <w:qFormat/>
    <w:uiPriority w:val="0"/>
    <w:rPr>
      <w:rFonts w:ascii="仿宋_GB2312" w:hAnsi="Times New Roman" w:eastAsia="仿宋_GB2312" w:cs="仿宋_GB2312"/>
      <w:b/>
      <w:bCs/>
      <w:kern w:val="2"/>
      <w:sz w:val="32"/>
      <w:szCs w:val="32"/>
    </w:rPr>
  </w:style>
  <w:style w:type="paragraph" w:styleId="9">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10">
    <w:name w:val="Plain Text"/>
    <w:basedOn w:val="1"/>
    <w:link w:val="35"/>
    <w:qFormat/>
    <w:uiPriority w:val="0"/>
    <w:rPr>
      <w:rFonts w:ascii="宋体" w:hAnsi="Courier New" w:cs="宋体"/>
      <w:kern w:val="2"/>
    </w:rPr>
  </w:style>
  <w:style w:type="paragraph" w:styleId="11">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2">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3">
    <w:name w:val="Balloon Text"/>
    <w:basedOn w:val="1"/>
    <w:link w:val="34"/>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7">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8">
    <w:name w:val="Body Text First Indent 2"/>
    <w:basedOn w:val="9"/>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uiPriority w:val="0"/>
  </w:style>
  <w:style w:type="character" w:styleId="26">
    <w:name w:val="HTML Definition"/>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uiPriority w:val="0"/>
    <w:rPr>
      <w:rFonts w:hint="default" w:ascii="monospace" w:hAnsi="monospace" w:eastAsia="monospace" w:cs="monospace"/>
      <w:sz w:val="21"/>
      <w:szCs w:val="21"/>
    </w:rPr>
  </w:style>
  <w:style w:type="character" w:styleId="30">
    <w:name w:val="HTML Sample"/>
    <w:uiPriority w:val="0"/>
    <w:rPr>
      <w:rFonts w:hint="default" w:ascii="monospace" w:hAnsi="monospace" w:eastAsia="monospace" w:cs="monospace"/>
      <w:sz w:val="21"/>
      <w:szCs w:val="21"/>
    </w:rPr>
  </w:style>
  <w:style w:type="character" w:customStyle="1" w:styleId="31">
    <w:name w:val="页眉 字符"/>
    <w:basedOn w:val="21"/>
    <w:link w:val="15"/>
    <w:qFormat/>
    <w:locked/>
    <w:uiPriority w:val="99"/>
    <w:rPr>
      <w:rFonts w:ascii="Calibri" w:hAnsi="Calibri" w:eastAsia="宋体" w:cs="Calibri"/>
      <w:kern w:val="10"/>
      <w:sz w:val="18"/>
      <w:szCs w:val="18"/>
    </w:rPr>
  </w:style>
  <w:style w:type="character" w:customStyle="1" w:styleId="32">
    <w:name w:val="页脚 字符"/>
    <w:basedOn w:val="21"/>
    <w:link w:val="14"/>
    <w:qFormat/>
    <w:locked/>
    <w:uiPriority w:val="99"/>
    <w:rPr>
      <w:rFonts w:ascii="Calibri" w:hAnsi="Calibri" w:eastAsia="宋体" w:cs="Calibri"/>
      <w:kern w:val="10"/>
      <w:sz w:val="18"/>
      <w:szCs w:val="18"/>
    </w:rPr>
  </w:style>
  <w:style w:type="character" w:customStyle="1" w:styleId="33">
    <w:name w:val="正文文本 字符"/>
    <w:basedOn w:val="21"/>
    <w:link w:val="8"/>
    <w:qFormat/>
    <w:locked/>
    <w:uiPriority w:val="0"/>
    <w:rPr>
      <w:rFonts w:cs="Times New Roman"/>
      <w:kern w:val="10"/>
      <w:sz w:val="21"/>
      <w:szCs w:val="21"/>
    </w:rPr>
  </w:style>
  <w:style w:type="character" w:customStyle="1" w:styleId="34">
    <w:name w:val="批注框文本 字符"/>
    <w:basedOn w:val="21"/>
    <w:link w:val="13"/>
    <w:locked/>
    <w:uiPriority w:val="0"/>
    <w:rPr>
      <w:rFonts w:cs="Times New Roman"/>
      <w:kern w:val="10"/>
      <w:sz w:val="2"/>
      <w:szCs w:val="2"/>
    </w:rPr>
  </w:style>
  <w:style w:type="character" w:customStyle="1" w:styleId="35">
    <w:name w:val="纯文本 字符"/>
    <w:basedOn w:val="21"/>
    <w:link w:val="10"/>
    <w:qFormat/>
    <w:locked/>
    <w:uiPriority w:val="0"/>
    <w:rPr>
      <w:rFonts w:ascii="宋体" w:hAnsi="Courier New" w:cs="宋体"/>
      <w:kern w:val="10"/>
      <w:sz w:val="21"/>
      <w:szCs w:val="21"/>
    </w:rPr>
  </w:style>
  <w:style w:type="character" w:customStyle="1" w:styleId="36">
    <w:name w:val="Char Char2"/>
    <w:basedOn w:val="21"/>
    <w:uiPriority w:val="99"/>
    <w:rPr>
      <w:rFonts w:eastAsia="宋体" w:cs="Times New Roman"/>
      <w:kern w:val="2"/>
      <w:sz w:val="18"/>
      <w:szCs w:val="18"/>
      <w:lang w:val="en-US" w:eastAsia="zh-CN"/>
    </w:rPr>
  </w:style>
  <w:style w:type="character" w:customStyle="1" w:styleId="37">
    <w:name w:val="Char Char1"/>
    <w:basedOn w:val="21"/>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2"/>
    <w:qFormat/>
    <w:uiPriority w:val="0"/>
    <w:rPr>
      <w:rFonts w:ascii="Times New Roman" w:hAnsi="Times New Roman"/>
      <w:kern w:val="2"/>
      <w:sz w:val="21"/>
      <w:szCs w:val="24"/>
    </w:rPr>
  </w:style>
  <w:style w:type="paragraph" w:customStyle="1" w:styleId="40">
    <w:name w:val="列出段落1"/>
    <w:basedOn w:val="1"/>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1"/>
    <w:qFormat/>
    <w:uiPriority w:val="0"/>
    <w:rPr>
      <w:rFonts w:ascii="Times New Roman" w:hAnsi="Times New Roman" w:eastAsia="仿宋_GB2312"/>
      <w:kern w:val="2"/>
      <w:sz w:val="32"/>
      <w:szCs w:val="32"/>
    </w:rPr>
  </w:style>
  <w:style w:type="character" w:customStyle="1" w:styleId="49">
    <w:name w:val="副标题 字符"/>
    <w:basedOn w:val="21"/>
    <w:link w:val="16"/>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2"/>
    <w:qFormat/>
    <w:uiPriority w:val="99"/>
    <w:rPr>
      <w:rFonts w:ascii="Times New Roman" w:hAnsi="Times New Roman" w:cs="Times New Roman"/>
      <w:kern w:val="10"/>
      <w:sz w:val="28"/>
      <w:szCs w:val="24"/>
    </w:rPr>
  </w:style>
  <w:style w:type="character" w:customStyle="1" w:styleId="54">
    <w:name w:val="正文文本缩进 字符"/>
    <w:basedOn w:val="21"/>
    <w:link w:val="9"/>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7"/>
    <w:semiHidden/>
    <w:qFormat/>
    <w:uiPriority w:val="99"/>
    <w:rPr>
      <w:rFonts w:ascii="宋体" w:cs="Calibri"/>
      <w:kern w:val="10"/>
      <w:sz w:val="18"/>
      <w:szCs w:val="18"/>
    </w:rPr>
  </w:style>
  <w:style w:type="paragraph" w:customStyle="1" w:styleId="60">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2417</Words>
  <Characters>2498</Characters>
  <Lines>33</Lines>
  <Paragraphs>9</Paragraphs>
  <TotalTime>1</TotalTime>
  <ScaleCrop>false</ScaleCrop>
  <LinksUpToDate>false</LinksUpToDate>
  <CharactersWithSpaces>2585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2024-04-29T16:23:32Z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738C42EC14D344D190CE59E343F245CC_13</vt:lpwstr>
  </property>
</Properties>
</file>