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1050" w:leftChars="500"/>
        <w:outlineLvl w:val="0"/>
        <w:rPr>
          <w:rFonts w:hint="default" w:ascii="Times New Roman" w:hAnsi="Times New Roman" w:eastAsia="方正小标宋简体" w:cs="Times New Roman"/>
          <w:kern w:val="2"/>
          <w:sz w:val="96"/>
          <w:szCs w:val="130"/>
          <w:u w:val="single"/>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lang w:val="en-US" w:eastAsia="zh-CN"/>
        </w:rPr>
        <w:t xml:space="preserve">   个体粉尘暴露仪等仪器   </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ind w:left="1680" w:leftChars="800"/>
        <w:rPr>
          <w:rFonts w:ascii="Times New Roman" w:hAnsi="Times New Roman" w:eastAsia="方正小标宋简体" w:cs="Times New Roman"/>
          <w:kern w:val="2"/>
          <w:sz w:val="44"/>
          <w:szCs w:val="44"/>
        </w:rPr>
      </w:pPr>
    </w:p>
    <w:p>
      <w:pPr>
        <w:snapToGrid w:val="0"/>
        <w:ind w:left="1680" w:leftChars="80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二○二</w:t>
      </w:r>
      <w:r>
        <w:rPr>
          <w:rFonts w:hint="eastAsia" w:ascii="Times New Roman" w:hAnsi="Times New Roman" w:eastAsia="方正小标宋简体" w:cs="Times New Roman"/>
          <w:kern w:val="2"/>
          <w:sz w:val="44"/>
          <w:szCs w:val="44"/>
          <w:lang w:val="en-US" w:eastAsia="zh-CN"/>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三</w:t>
      </w:r>
      <w:r>
        <w:rPr>
          <w:rFonts w:ascii="Times New Roman" w:hAnsi="Times New Roman" w:eastAsia="方正小标宋简体" w:cs="Times New Roman"/>
          <w:kern w:val="2"/>
          <w:sz w:val="44"/>
          <w:szCs w:val="44"/>
        </w:rPr>
        <w:t>月</w:t>
      </w:r>
    </w:p>
    <w:p>
      <w:pPr>
        <w:snapToGrid w:val="0"/>
        <w:rPr>
          <w:rFonts w:ascii="Times New Roman" w:hAnsi="Times New Roman" w:eastAsia="方正大标宋简体" w:cs="Times New Roman"/>
          <w:kern w:val="2"/>
          <w:sz w:val="44"/>
          <w:szCs w:val="44"/>
        </w:rPr>
      </w:pPr>
    </w:p>
    <w:p>
      <w:pPr>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br w:type="page"/>
      </w:r>
    </w:p>
    <w:p/>
    <w:p>
      <w:pPr>
        <w:pStyle w:val="21"/>
        <w:spacing w:before="312"/>
        <w:rPr>
          <w:rFonts w:hint="eastAsia"/>
        </w:rPr>
      </w:pPr>
      <w:r>
        <w:rPr>
          <w:rFonts w:hint="eastAsia"/>
        </w:rPr>
        <w:t>目   录</w:t>
      </w:r>
    </w:p>
    <w:p>
      <w:pPr>
        <w:ind w:firstLine="560"/>
        <w:rPr>
          <w:rFonts w:hint="eastAsia"/>
        </w:rPr>
      </w:pPr>
    </w:p>
    <w:p>
      <w:pPr>
        <w:pStyle w:val="10"/>
        <w:tabs>
          <w:tab w:val="right" w:leader="dot" w:pos="8306"/>
        </w:tabs>
      </w:pPr>
      <w:r>
        <w:fldChar w:fldCharType="begin"/>
      </w:r>
      <w:r>
        <w:instrText xml:space="preserve">TOC \o "1-1" \h \u </w:instrText>
      </w:r>
      <w:r>
        <w:fldChar w:fldCharType="separate"/>
      </w:r>
      <w:r>
        <w:fldChar w:fldCharType="begin"/>
      </w:r>
      <w:r>
        <w:instrText xml:space="preserve"> HYPERLINK \l _Toc6271 </w:instrText>
      </w:r>
      <w:r>
        <w:fldChar w:fldCharType="separate"/>
      </w:r>
      <w:r>
        <w:rPr>
          <w:rFonts w:hint="eastAsia"/>
        </w:rPr>
        <w:t>前附表</w:t>
      </w:r>
      <w:r>
        <w:fldChar w:fldCharType="end"/>
      </w:r>
    </w:p>
    <w:p>
      <w:pPr>
        <w:pStyle w:val="10"/>
        <w:tabs>
          <w:tab w:val="right" w:leader="dot" w:pos="8306"/>
        </w:tabs>
      </w:pPr>
      <w:r>
        <w:fldChar w:fldCharType="begin"/>
      </w:r>
      <w:r>
        <w:instrText xml:space="preserve"> HYPERLINK \l _Toc27321 </w:instrText>
      </w:r>
      <w:r>
        <w:fldChar w:fldCharType="separate"/>
      </w:r>
      <w:r>
        <w:t xml:space="preserve">第一部分  </w:t>
      </w:r>
      <w:r>
        <w:rPr>
          <w:rFonts w:hint="eastAsia"/>
          <w:lang w:val="en-US" w:eastAsia="zh-CN"/>
        </w:rPr>
        <w:t>询价公告</w:t>
      </w:r>
      <w:r>
        <w:tab/>
      </w:r>
      <w:r>
        <w:fldChar w:fldCharType="begin"/>
      </w:r>
      <w:r>
        <w:instrText xml:space="preserve"> PAGEREF _Toc27321 \h </w:instrText>
      </w:r>
      <w:r>
        <w:fldChar w:fldCharType="separate"/>
      </w:r>
      <w:r>
        <w:t>1</w:t>
      </w:r>
      <w:r>
        <w:fldChar w:fldCharType="end"/>
      </w:r>
      <w:r>
        <w:fldChar w:fldCharType="end"/>
      </w:r>
    </w:p>
    <w:p>
      <w:pPr>
        <w:pStyle w:val="10"/>
        <w:tabs>
          <w:tab w:val="right" w:leader="dot" w:pos="8306"/>
        </w:tabs>
      </w:pPr>
      <w:r>
        <w:fldChar w:fldCharType="begin"/>
      </w:r>
      <w:r>
        <w:instrText xml:space="preserve"> HYPERLINK \l _Toc13951 </w:instrText>
      </w:r>
      <w:r>
        <w:fldChar w:fldCharType="separate"/>
      </w:r>
      <w:r>
        <w:rPr>
          <w:lang w:val="zh-CN"/>
        </w:rPr>
        <w:t xml:space="preserve">第二部分  </w:t>
      </w:r>
      <w:r>
        <w:rPr>
          <w:rFonts w:hint="eastAsia"/>
          <w:lang w:val="en-US" w:eastAsia="zh-CN"/>
        </w:rPr>
        <w:t>询价须知</w:t>
      </w:r>
      <w:r>
        <w:tab/>
      </w:r>
      <w:r>
        <w:rPr>
          <w:rFonts w:hint="eastAsia"/>
          <w:lang w:val="en-US" w:eastAsia="zh-CN"/>
        </w:rPr>
        <w:t>4</w:t>
      </w:r>
      <w:r>
        <w:fldChar w:fldCharType="end"/>
      </w:r>
    </w:p>
    <w:p>
      <w:pPr>
        <w:pStyle w:val="10"/>
        <w:tabs>
          <w:tab w:val="right" w:leader="dot" w:pos="8306"/>
        </w:tabs>
        <w:rPr>
          <w:rFonts w:hint="default" w:eastAsia="方正小标宋简体"/>
          <w:lang w:val="en-US" w:eastAsia="zh-CN"/>
        </w:rPr>
      </w:pPr>
      <w:r>
        <w:fldChar w:fldCharType="begin"/>
      </w:r>
      <w:r>
        <w:instrText xml:space="preserve"> HYPERLINK \l _Toc9471 </w:instrText>
      </w:r>
      <w:r>
        <w:fldChar w:fldCharType="separate"/>
      </w:r>
      <w:r>
        <w:t xml:space="preserve">第三部分  </w:t>
      </w:r>
      <w:r>
        <w:rPr>
          <w:rFonts w:hint="eastAsia"/>
          <w:lang w:val="en-US" w:eastAsia="zh-CN"/>
        </w:rPr>
        <w:t>商务与技术需求</w:t>
      </w:r>
      <w:r>
        <w:tab/>
      </w:r>
      <w:r>
        <w:fldChar w:fldCharType="end"/>
      </w:r>
      <w:r>
        <w:rPr>
          <w:rFonts w:hint="eastAsia"/>
          <w:lang w:val="en-US" w:eastAsia="zh-CN"/>
        </w:rPr>
        <w:t>37</w:t>
      </w:r>
    </w:p>
    <w:p>
      <w:pPr>
        <w:pStyle w:val="10"/>
        <w:tabs>
          <w:tab w:val="right" w:leader="dot" w:pos="8306"/>
        </w:tabs>
        <w:rPr>
          <w:rFonts w:hint="default" w:eastAsia="方正小标宋简体"/>
          <w:lang w:val="en-US" w:eastAsia="zh-CN"/>
        </w:rPr>
      </w:pPr>
      <w:r>
        <w:fldChar w:fldCharType="begin"/>
      </w:r>
      <w:r>
        <w:instrText xml:space="preserve"> HYPERLINK \l _Toc9168 </w:instrText>
      </w:r>
      <w:r>
        <w:fldChar w:fldCharType="separate"/>
      </w:r>
      <w:r>
        <w:t>第</w:t>
      </w:r>
      <w:r>
        <w:rPr>
          <w:rFonts w:hint="eastAsia"/>
        </w:rPr>
        <w:t>四</w:t>
      </w:r>
      <w:r>
        <w:t xml:space="preserve">部分  </w:t>
      </w:r>
      <w:r>
        <w:rPr>
          <w:rFonts w:hint="eastAsia"/>
          <w:b w:val="0"/>
          <w:szCs w:val="44"/>
          <w:lang w:val="zh-CN"/>
        </w:rPr>
        <w:t>报价文件内容及格式</w:t>
      </w:r>
      <w:r>
        <w:tab/>
      </w:r>
      <w:r>
        <w:fldChar w:fldCharType="end"/>
      </w:r>
      <w:r>
        <w:rPr>
          <w:rFonts w:hint="eastAsia"/>
          <w:lang w:val="en-US" w:eastAsia="zh-CN"/>
        </w:rPr>
        <w:t>42</w:t>
      </w:r>
    </w:p>
    <w:p>
      <w:pPr>
        <w:snapToGrid w:val="0"/>
        <w:spacing w:line="500" w:lineRule="exact"/>
        <w:rPr>
          <w:rFonts w:ascii="Times New Roman" w:hAnsi="Times New Roman" w:eastAsia="黑体" w:cs="Times New Roman"/>
          <w:kern w:val="2"/>
          <w:sz w:val="44"/>
          <w:szCs w:val="32"/>
        </w:rPr>
        <w:sectPr>
          <w:pgSz w:w="11907" w:h="16840"/>
          <w:pgMar w:top="2098" w:right="1474" w:bottom="1985" w:left="1588" w:header="964" w:footer="992" w:gutter="0"/>
          <w:pgNumType w:fmt="numberInDash"/>
          <w:cols w:space="720" w:num="1"/>
          <w:titlePg/>
          <w:docGrid w:linePitch="312" w:charSpace="0"/>
        </w:sectPr>
      </w:pPr>
      <w:r>
        <w:fldChar w:fldCharType="end"/>
      </w:r>
    </w:p>
    <w:p>
      <w:pPr>
        <w:keepNext/>
        <w:keepLines/>
        <w:numPr>
          <w:ilvl w:val="0"/>
          <w:numId w:val="1"/>
        </w:numPr>
        <w:spacing w:before="340" w:after="330" w:line="578" w:lineRule="auto"/>
        <w:jc w:val="center"/>
        <w:outlineLvl w:val="0"/>
        <w:rPr>
          <w:rFonts w:hint="default" w:ascii="Times New Roman" w:hAnsi="Times New Roman" w:eastAsia="方正小标宋简体" w:cs="Times New Roman"/>
          <w:kern w:val="44"/>
          <w:sz w:val="44"/>
          <w:szCs w:val="28"/>
        </w:rPr>
      </w:pPr>
      <w:r>
        <w:rPr>
          <w:rFonts w:hint="default" w:ascii="Times New Roman" w:hAnsi="Times New Roman" w:eastAsia="方正小标宋简体" w:cs="Times New Roman"/>
          <w:kern w:val="44"/>
          <w:sz w:val="44"/>
          <w:szCs w:val="28"/>
        </w:rPr>
        <w:t>询价公告</w:t>
      </w:r>
    </w:p>
    <w:p>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我单位</w:t>
      </w:r>
      <w:r>
        <w:rPr>
          <w:rFonts w:hint="eastAsia" w:ascii="宋体" w:hAnsi="宋体" w:eastAsia="宋体" w:cs="宋体"/>
          <w:kern w:val="2"/>
          <w:sz w:val="28"/>
          <w:szCs w:val="28"/>
        </w:rPr>
        <w:t>就以下项目进行询价采购，欢迎有资格的供应商参加该项目询价。</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一、</w:t>
      </w:r>
      <w:r>
        <w:rPr>
          <w:rFonts w:hint="eastAsia" w:ascii="宋体" w:hAnsi="宋体" w:eastAsia="宋体" w:cs="宋体"/>
          <w:b/>
          <w:bCs/>
          <w:kern w:val="2"/>
          <w:sz w:val="28"/>
          <w:szCs w:val="28"/>
        </w:rPr>
        <w:t>项目名称：</w:t>
      </w:r>
      <w:r>
        <w:rPr>
          <w:rFonts w:hint="eastAsia" w:ascii="宋体" w:hAnsi="宋体" w:cs="宋体"/>
          <w:b/>
          <w:bCs/>
          <w:kern w:val="2"/>
          <w:sz w:val="28"/>
          <w:szCs w:val="28"/>
          <w:lang w:val="en-US" w:eastAsia="zh-CN"/>
        </w:rPr>
        <w:t>个体粉尘暴露仪等仪器</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二、</w:t>
      </w:r>
      <w:r>
        <w:rPr>
          <w:rFonts w:hint="eastAsia" w:ascii="宋体" w:hAnsi="宋体" w:eastAsia="宋体" w:cs="宋体"/>
          <w:b/>
          <w:bCs/>
          <w:kern w:val="2"/>
          <w:sz w:val="28"/>
          <w:szCs w:val="28"/>
        </w:rPr>
        <w:t>项目预算：</w:t>
      </w:r>
      <w:r>
        <w:rPr>
          <w:rFonts w:hint="eastAsia" w:ascii="宋体" w:hAnsi="宋体" w:cs="宋体"/>
          <w:b/>
          <w:bCs/>
          <w:kern w:val="2"/>
          <w:sz w:val="28"/>
          <w:szCs w:val="28"/>
          <w:lang w:val="en-US" w:eastAsia="zh-CN"/>
        </w:rPr>
        <w:t>17.6万元</w:t>
      </w:r>
      <w:bookmarkStart w:id="627" w:name="_GoBack"/>
      <w:bookmarkEnd w:id="627"/>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rPr>
        <w:t>三、</w:t>
      </w:r>
      <w:r>
        <w:rPr>
          <w:rFonts w:hint="eastAsia" w:ascii="宋体" w:hAnsi="宋体" w:eastAsia="宋体" w:cs="宋体"/>
          <w:b/>
          <w:bCs/>
          <w:kern w:val="2"/>
          <w:sz w:val="28"/>
          <w:szCs w:val="28"/>
        </w:rPr>
        <w:t>项目</w:t>
      </w:r>
      <w:r>
        <w:rPr>
          <w:rFonts w:hint="eastAsia" w:ascii="宋体" w:hAnsi="宋体" w:cs="宋体"/>
          <w:b/>
          <w:bCs/>
          <w:kern w:val="2"/>
          <w:sz w:val="28"/>
          <w:szCs w:val="28"/>
          <w:lang w:val="en-US" w:eastAsia="zh-CN"/>
        </w:rPr>
        <w:t>编号</w:t>
      </w:r>
      <w:r>
        <w:rPr>
          <w:rFonts w:hint="eastAsia" w:ascii="宋体" w:hAnsi="宋体" w:eastAsia="宋体" w:cs="宋体"/>
          <w:b/>
          <w:bCs/>
          <w:kern w:val="2"/>
          <w:sz w:val="28"/>
          <w:szCs w:val="28"/>
        </w:rPr>
        <w:t>：</w:t>
      </w:r>
      <w:r>
        <w:rPr>
          <w:rFonts w:ascii="Times New Roman" w:hAnsi="Times New Roman" w:cs="Times New Roman"/>
          <w:b/>
          <w:bCs/>
          <w:kern w:val="28"/>
          <w:sz w:val="28"/>
          <w:szCs w:val="28"/>
        </w:rPr>
        <w:t>202</w:t>
      </w:r>
      <w:r>
        <w:rPr>
          <w:rFonts w:hint="eastAsia" w:ascii="Times New Roman" w:hAnsi="Times New Roman" w:cs="Times New Roman"/>
          <w:b/>
          <w:bCs/>
          <w:kern w:val="28"/>
          <w:sz w:val="28"/>
          <w:szCs w:val="28"/>
          <w:lang w:val="en-US" w:eastAsia="zh-CN"/>
        </w:rPr>
        <w:t>4</w:t>
      </w:r>
      <w:r>
        <w:rPr>
          <w:rFonts w:ascii="Times New Roman" w:hAnsi="Times New Roman" w:cs="Times New Roman"/>
          <w:b/>
          <w:bCs/>
          <w:kern w:val="28"/>
          <w:sz w:val="28"/>
          <w:szCs w:val="28"/>
        </w:rPr>
        <w:t>-YFX</w:t>
      </w:r>
      <w:r>
        <w:rPr>
          <w:rFonts w:hint="eastAsia" w:ascii="Times New Roman" w:hAnsi="Times New Roman" w:cs="Times New Roman"/>
          <w:b/>
          <w:bCs/>
          <w:kern w:val="28"/>
          <w:sz w:val="28"/>
          <w:szCs w:val="28"/>
          <w:lang w:val="en-US" w:eastAsia="zh-CN"/>
        </w:rPr>
        <w:t>LW</w:t>
      </w:r>
      <w:r>
        <w:rPr>
          <w:rFonts w:ascii="Times New Roman" w:hAnsi="Times New Roman" w:cs="Times New Roman"/>
          <w:b/>
          <w:bCs/>
          <w:kern w:val="28"/>
          <w:sz w:val="28"/>
          <w:szCs w:val="28"/>
        </w:rPr>
        <w:t>-</w:t>
      </w:r>
      <w:r>
        <w:rPr>
          <w:rFonts w:hint="eastAsia" w:ascii="Times New Roman" w:hAnsi="Times New Roman" w:cs="Times New Roman"/>
          <w:b/>
          <w:bCs/>
          <w:kern w:val="28"/>
          <w:sz w:val="28"/>
          <w:szCs w:val="28"/>
          <w:lang w:val="en-US" w:eastAsia="zh-CN"/>
        </w:rPr>
        <w:t>W1002</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rPr>
        <w:t>四、</w:t>
      </w:r>
      <w:r>
        <w:rPr>
          <w:rFonts w:hint="eastAsia" w:ascii="宋体" w:hAnsi="宋体" w:eastAsia="宋体" w:cs="宋体"/>
          <w:b/>
          <w:bCs/>
          <w:kern w:val="2"/>
          <w:sz w:val="28"/>
          <w:szCs w:val="28"/>
        </w:rPr>
        <w:t>项目概况：</w:t>
      </w: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136"/>
        <w:gridCol w:w="2458"/>
        <w:gridCol w:w="1228"/>
        <w:gridCol w:w="1222"/>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0"/>
                <w:sz w:val="28"/>
                <w:szCs w:val="28"/>
              </w:rPr>
              <w:t>序号</w:t>
            </w:r>
          </w:p>
        </w:tc>
        <w:tc>
          <w:tcPr>
            <w:tcW w:w="1117"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名称</w:t>
            </w:r>
          </w:p>
        </w:tc>
        <w:tc>
          <w:tcPr>
            <w:tcW w:w="1285"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技术要求</w:t>
            </w:r>
          </w:p>
        </w:tc>
        <w:tc>
          <w:tcPr>
            <w:tcW w:w="642"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数量</w:t>
            </w:r>
          </w:p>
        </w:tc>
        <w:tc>
          <w:tcPr>
            <w:tcW w:w="639"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计量</w:t>
            </w:r>
          </w:p>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单位</w:t>
            </w:r>
          </w:p>
        </w:tc>
        <w:tc>
          <w:tcPr>
            <w:tcW w:w="863"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eastAsia" w:ascii="Times New Roman" w:hAnsi="Times New Roman" w:cs="Times New Roman"/>
                <w:kern w:val="0"/>
                <w:sz w:val="28"/>
                <w:szCs w:val="28"/>
                <w:lang w:val="en-US" w:eastAsia="zh-CN"/>
              </w:rPr>
            </w:pPr>
            <w:r>
              <w:rPr>
                <w:rFonts w:hint="eastAsia" w:ascii="Times New Roman" w:hAnsi="Times New Roman" w:cs="Times New Roman"/>
                <w:kern w:val="0"/>
                <w:sz w:val="28"/>
                <w:szCs w:val="28"/>
                <w:lang w:val="en-US" w:eastAsia="zh-CN"/>
              </w:rPr>
              <w:t>预算</w:t>
            </w:r>
          </w:p>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lang w:val="en-US" w:eastAsia="zh-CN"/>
              </w:rPr>
            </w:pPr>
            <w:r>
              <w:rPr>
                <w:rFonts w:hint="eastAsia" w:ascii="Times New Roman" w:hAnsi="Times New Roman" w:cs="Times New Roman"/>
                <w:kern w:val="0"/>
                <w:sz w:val="28"/>
                <w:szCs w:val="28"/>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w:t>
            </w:r>
          </w:p>
        </w:tc>
        <w:tc>
          <w:tcPr>
            <w:tcW w:w="1117"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个体粉尘暴露仪</w:t>
            </w:r>
          </w:p>
        </w:tc>
        <w:tc>
          <w:tcPr>
            <w:tcW w:w="1285"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详见第三部分</w:t>
            </w:r>
          </w:p>
        </w:tc>
        <w:tc>
          <w:tcPr>
            <w:tcW w:w="642"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639"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台</w:t>
            </w:r>
          </w:p>
        </w:tc>
        <w:tc>
          <w:tcPr>
            <w:tcW w:w="863"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2</w:t>
            </w:r>
          </w:p>
        </w:tc>
        <w:tc>
          <w:tcPr>
            <w:tcW w:w="1117"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环境颗粒物检测仪</w:t>
            </w:r>
          </w:p>
        </w:tc>
        <w:tc>
          <w:tcPr>
            <w:tcW w:w="1285"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详见第三部分</w:t>
            </w:r>
          </w:p>
        </w:tc>
        <w:tc>
          <w:tcPr>
            <w:tcW w:w="642"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639"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台</w:t>
            </w:r>
          </w:p>
        </w:tc>
        <w:tc>
          <w:tcPr>
            <w:tcW w:w="863"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9.8</w:t>
            </w: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Times New Roman" w:hAnsi="Times New Roman" w:eastAsia="黑体" w:cs="Times New Roman"/>
          <w:kern w:val="2"/>
          <w:sz w:val="28"/>
          <w:szCs w:val="28"/>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rPr>
        <w:t>五、报价方</w:t>
      </w:r>
      <w:r>
        <w:rPr>
          <w:rFonts w:hint="eastAsia" w:ascii="宋体" w:hAnsi="宋体" w:eastAsia="宋体" w:cs="宋体"/>
          <w:b/>
          <w:bCs/>
          <w:kern w:val="2"/>
          <w:sz w:val="28"/>
          <w:szCs w:val="28"/>
        </w:rPr>
        <w:t>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（一）符合《中华人民共和国政府采购法》第二十二条资格条件：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1.具有独立承担民事责任的能力；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2.具有良好的商业信誉和健全的财务会计制度；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3.具有履行合同所必需的设备和专业技术能力；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4.有依法缴纳税收和社会保障资金的良好记录；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5.参加政府采购活动前3年内，在经营活动中没有重大违法记录；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6.法律、行政法规规定的其他条件。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（三）未被列入政府采购失信名单、军队供应商暂停名单，未在军队采购失信名单禁入处罚期内，未被“信用中国”网站列入失信被执行人、税收违法黑名单当事人。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（四）本项目不接受联合体报价。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b/>
          <w:bCs w:val="0"/>
          <w:i w:val="0"/>
          <w:iCs w:val="0"/>
          <w:caps w:val="0"/>
          <w:color w:val="2F2F2F"/>
          <w:spacing w:val="0"/>
          <w:sz w:val="28"/>
          <w:szCs w:val="28"/>
        </w:rPr>
      </w:pPr>
      <w:r>
        <w:rPr>
          <w:rStyle w:val="15"/>
          <w:rFonts w:hint="eastAsia" w:ascii="宋体" w:hAnsi="宋体" w:eastAsia="宋体" w:cs="宋体"/>
          <w:b/>
          <w:bCs w:val="0"/>
          <w:i w:val="0"/>
          <w:iCs w:val="0"/>
          <w:caps w:val="0"/>
          <w:color w:val="2F2F2F"/>
          <w:spacing w:val="0"/>
          <w:sz w:val="28"/>
          <w:szCs w:val="28"/>
          <w:vertAlign w:val="baseline"/>
        </w:rPr>
        <w:t>六、询价文件申领时间、地点、方式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（一）申领时间：自公告发布之日起至2024年</w:t>
      </w:r>
      <w:r>
        <w:rPr>
          <w:rFonts w:hint="eastAsia" w:ascii="宋体" w:hAnsi="宋体" w:cs="宋体"/>
          <w:i w:val="0"/>
          <w:iCs w:val="0"/>
          <w:caps w:val="0"/>
          <w:color w:val="2F2F2F"/>
          <w:spacing w:val="0"/>
          <w:sz w:val="28"/>
          <w:szCs w:val="28"/>
          <w:vertAlign w:val="baseline"/>
          <w:lang w:val="en-US" w:eastAsia="zh-CN"/>
        </w:rPr>
        <w:t>4</w:t>
      </w:r>
      <w:r>
        <w:rPr>
          <w:rFonts w:hint="eastAsia" w:ascii="宋体" w:hAnsi="宋体" w:eastAsia="宋体" w:cs="宋体"/>
          <w:i w:val="0"/>
          <w:iCs w:val="0"/>
          <w:caps w:val="0"/>
          <w:color w:val="2F2F2F"/>
          <w:spacing w:val="0"/>
          <w:sz w:val="28"/>
          <w:szCs w:val="28"/>
          <w:vertAlign w:val="baseline"/>
        </w:rPr>
        <w:t>月</w:t>
      </w:r>
      <w:r>
        <w:rPr>
          <w:rFonts w:hint="eastAsia" w:ascii="宋体" w:hAnsi="宋体" w:cs="宋体"/>
          <w:i w:val="0"/>
          <w:iCs w:val="0"/>
          <w:caps w:val="0"/>
          <w:color w:val="2F2F2F"/>
          <w:spacing w:val="0"/>
          <w:sz w:val="28"/>
          <w:szCs w:val="28"/>
          <w:vertAlign w:val="baseline"/>
          <w:lang w:val="en-US" w:eastAsia="zh-CN"/>
        </w:rPr>
        <w:t>3</w:t>
      </w:r>
      <w:r>
        <w:rPr>
          <w:rFonts w:hint="eastAsia" w:ascii="宋体" w:hAnsi="宋体" w:eastAsia="宋体" w:cs="宋体"/>
          <w:i w:val="0"/>
          <w:iCs w:val="0"/>
          <w:caps w:val="0"/>
          <w:color w:val="2F2F2F"/>
          <w:spacing w:val="0"/>
          <w:sz w:val="28"/>
          <w:szCs w:val="28"/>
          <w:vertAlign w:val="baseline"/>
        </w:rPr>
        <w:t>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（二）申领地点：网上申领。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（三）申领询价文件时需提供以下资料：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1.营业执照或事业单位法人证书复印件加盖公章（军队单位不需要提供）；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2.法定代表人资格证明书原件；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3.法定代表人授权书原件；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4.非外资企业或外资控股企业的书面声明（企业提供，事业单位、军队单位不需要提供）；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5.未被“信用中国”网站列入失信被执行人、税收违法黑名单当事人名单，未被列入政府采购严重失信行为记录名单，未被列入军队供应商暂停名单，未在军队采购供应商失信名单禁入处罚期内的承诺书；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（四）申领方式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同询价公告一并挂网，自行下载。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b/>
          <w:bCs w:val="0"/>
          <w:i w:val="0"/>
          <w:iCs w:val="0"/>
          <w:caps w:val="0"/>
          <w:color w:val="2F2F2F"/>
          <w:spacing w:val="0"/>
          <w:sz w:val="28"/>
          <w:szCs w:val="28"/>
        </w:rPr>
      </w:pPr>
      <w:r>
        <w:rPr>
          <w:rStyle w:val="15"/>
          <w:rFonts w:hint="eastAsia" w:ascii="宋体" w:hAnsi="宋体" w:eastAsia="宋体" w:cs="宋体"/>
          <w:b/>
          <w:bCs w:val="0"/>
          <w:i w:val="0"/>
          <w:iCs w:val="0"/>
          <w:caps w:val="0"/>
          <w:color w:val="2F2F2F"/>
          <w:spacing w:val="0"/>
          <w:sz w:val="28"/>
          <w:szCs w:val="28"/>
          <w:vertAlign w:val="baseline"/>
        </w:rPr>
        <w:t>七、报价文件递交开始和截止时间及地点、方式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（一）报价文件递交截止时间：2024年</w:t>
      </w:r>
      <w:r>
        <w:rPr>
          <w:rFonts w:hint="eastAsia" w:ascii="宋体" w:hAnsi="宋体" w:cs="宋体"/>
          <w:i w:val="0"/>
          <w:iCs w:val="0"/>
          <w:caps w:val="0"/>
          <w:color w:val="2F2F2F"/>
          <w:spacing w:val="0"/>
          <w:sz w:val="28"/>
          <w:szCs w:val="28"/>
          <w:vertAlign w:val="baseline"/>
          <w:lang w:val="en-US" w:eastAsia="zh-CN"/>
        </w:rPr>
        <w:t>4</w:t>
      </w:r>
      <w:r>
        <w:rPr>
          <w:rFonts w:hint="eastAsia" w:ascii="宋体" w:hAnsi="宋体" w:eastAsia="宋体" w:cs="宋体"/>
          <w:i w:val="0"/>
          <w:iCs w:val="0"/>
          <w:caps w:val="0"/>
          <w:color w:val="2F2F2F"/>
          <w:spacing w:val="0"/>
          <w:sz w:val="28"/>
          <w:szCs w:val="28"/>
          <w:vertAlign w:val="baseline"/>
        </w:rPr>
        <w:t>月</w:t>
      </w:r>
      <w:r>
        <w:rPr>
          <w:rFonts w:hint="eastAsia" w:ascii="宋体" w:hAnsi="宋体" w:cs="宋体"/>
          <w:i w:val="0"/>
          <w:iCs w:val="0"/>
          <w:caps w:val="0"/>
          <w:color w:val="2F2F2F"/>
          <w:spacing w:val="0"/>
          <w:sz w:val="28"/>
          <w:szCs w:val="28"/>
          <w:vertAlign w:val="baseline"/>
          <w:lang w:val="en-US" w:eastAsia="zh-CN"/>
        </w:rPr>
        <w:t>12</w:t>
      </w:r>
      <w:r>
        <w:rPr>
          <w:rFonts w:hint="eastAsia" w:ascii="宋体" w:hAnsi="宋体" w:eastAsia="宋体" w:cs="宋体"/>
          <w:i w:val="0"/>
          <w:iCs w:val="0"/>
          <w:caps w:val="0"/>
          <w:color w:val="2F2F2F"/>
          <w:spacing w:val="0"/>
          <w:sz w:val="28"/>
          <w:szCs w:val="28"/>
          <w:vertAlign w:val="baseline"/>
        </w:rPr>
        <w:t xml:space="preserve"> 日18时00分（北京时间）。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（二）报价文件递交要求：签字盖章密封递交。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（三）报价文件递交地点：重庆市沙坪坝区高滩岩正街30号。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Style w:val="15"/>
          <w:rFonts w:hint="eastAsia" w:ascii="宋体" w:hAnsi="宋体" w:eastAsia="宋体" w:cs="宋体"/>
          <w:i w:val="0"/>
          <w:iCs w:val="0"/>
          <w:caps w:val="0"/>
          <w:color w:val="2F2F2F"/>
          <w:spacing w:val="0"/>
          <w:sz w:val="28"/>
          <w:szCs w:val="28"/>
          <w:vertAlign w:val="baseline"/>
        </w:rPr>
        <w:t>八、采购单位联系方式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联系人：</w:t>
      </w:r>
      <w:r>
        <w:rPr>
          <w:rFonts w:hint="eastAsia" w:ascii="宋体" w:hAnsi="宋体" w:cs="宋体"/>
          <w:i w:val="0"/>
          <w:iCs w:val="0"/>
          <w:caps w:val="0"/>
          <w:color w:val="2F2F2F"/>
          <w:spacing w:val="0"/>
          <w:sz w:val="28"/>
          <w:szCs w:val="28"/>
          <w:vertAlign w:val="baseline"/>
          <w:lang w:val="en-US" w:eastAsia="zh-CN"/>
        </w:rPr>
        <w:t>陈</w:t>
      </w:r>
      <w:r>
        <w:rPr>
          <w:rFonts w:hint="eastAsia" w:ascii="宋体" w:hAnsi="宋体" w:eastAsia="宋体" w:cs="宋体"/>
          <w:i w:val="0"/>
          <w:iCs w:val="0"/>
          <w:caps w:val="0"/>
          <w:color w:val="2F2F2F"/>
          <w:spacing w:val="0"/>
          <w:sz w:val="28"/>
          <w:szCs w:val="28"/>
          <w:vertAlign w:val="baseline"/>
        </w:rPr>
        <w:t>老师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default" w:ascii="微软雅黑" w:hAnsi="微软雅黑" w:eastAsia="宋体" w:cs="微软雅黑"/>
          <w:i w:val="0"/>
          <w:iCs w:val="0"/>
          <w:caps w:val="0"/>
          <w:color w:val="2F2F2F"/>
          <w:spacing w:val="0"/>
          <w:sz w:val="28"/>
          <w:szCs w:val="28"/>
          <w:lang w:val="en-US" w:eastAsia="zh-CN"/>
        </w:rPr>
      </w:pPr>
      <w:r>
        <w:rPr>
          <w:rFonts w:hint="eastAsia" w:ascii="宋体" w:hAnsi="宋体" w:eastAsia="宋体" w:cs="宋体"/>
          <w:i w:val="0"/>
          <w:iCs w:val="0"/>
          <w:caps w:val="0"/>
          <w:color w:val="2F2F2F"/>
          <w:spacing w:val="0"/>
          <w:sz w:val="28"/>
          <w:szCs w:val="28"/>
          <w:vertAlign w:val="baseline"/>
        </w:rPr>
        <w:t>电话：1</w:t>
      </w:r>
      <w:r>
        <w:rPr>
          <w:rFonts w:hint="eastAsia" w:ascii="宋体" w:hAnsi="宋体" w:cs="宋体"/>
          <w:i w:val="0"/>
          <w:iCs w:val="0"/>
          <w:caps w:val="0"/>
          <w:color w:val="2F2F2F"/>
          <w:spacing w:val="0"/>
          <w:sz w:val="28"/>
          <w:szCs w:val="28"/>
          <w:vertAlign w:val="baseline"/>
          <w:lang w:val="en-US" w:eastAsia="zh-CN"/>
        </w:rPr>
        <w:t>3153515990</w:t>
      </w:r>
    </w:p>
    <w:p>
      <w:pPr>
        <w:keepNext w:val="0"/>
        <w:keepLines w:val="0"/>
        <w:pageBreakBefore w:val="0"/>
        <w:widowControl/>
        <w:kinsoku/>
        <w:wordWrap/>
        <w:overflowPunct/>
        <w:topLinePunct w:val="0"/>
        <w:autoSpaceDE/>
        <w:autoSpaceDN/>
        <w:bidi w:val="0"/>
        <w:spacing w:line="360" w:lineRule="auto"/>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询价</w:t>
      </w:r>
      <w:r>
        <w:rPr>
          <w:rFonts w:hint="eastAsia" w:ascii="Times New Roman" w:hAnsi="Times New Roman" w:eastAsia="方正小标宋简体" w:cs="Times New Roman"/>
          <w:kern w:val="44"/>
          <w:sz w:val="44"/>
          <w:szCs w:val="28"/>
          <w:lang w:val="en-US" w:eastAsia="zh-CN"/>
        </w:rPr>
        <w:t>须知</w:t>
      </w:r>
    </w:p>
    <w:p>
      <w:pPr>
        <w:pStyle w:val="5"/>
        <w:keepNext w:val="0"/>
        <w:keepLines w:val="0"/>
        <w:adjustRightInd w:val="0"/>
        <w:snapToGrid w:val="0"/>
        <w:spacing w:before="120" w:beforeLines="50" w:after="120" w:afterLines="50" w:line="560" w:lineRule="exact"/>
        <w:jc w:val="center"/>
        <w:rPr>
          <w:b w:val="0"/>
        </w:rPr>
      </w:pPr>
      <w:bookmarkStart w:id="0" w:name="_Toc27989"/>
      <w:bookmarkStart w:id="1" w:name="_Toc4173"/>
      <w:bookmarkStart w:id="2" w:name="_Toc150422525"/>
      <w:bookmarkStart w:id="3" w:name="_Toc23811"/>
      <w:bookmarkStart w:id="4" w:name="_Toc112879270"/>
      <w:bookmarkStart w:id="5" w:name="_Toc18434"/>
      <w:bookmarkStart w:id="6" w:name="_Toc132636801"/>
      <w:bookmarkStart w:id="7" w:name="_Toc21146"/>
      <w:bookmarkStart w:id="8" w:name="_Toc150422471"/>
      <w:bookmarkStart w:id="9" w:name="_Toc112317767"/>
      <w:bookmarkStart w:id="10" w:name="_Toc13467"/>
      <w:r>
        <w:rPr>
          <w:rFonts w:hint="eastAsia"/>
          <w:b w:val="0"/>
        </w:rPr>
        <w:t>一、说</w:t>
      </w:r>
      <w:r>
        <w:rPr>
          <w:b w:val="0"/>
        </w:rPr>
        <w:t xml:space="preserve">  </w:t>
      </w:r>
      <w:r>
        <w:rPr>
          <w:rFonts w:hint="eastAsia"/>
          <w:b w:val="0"/>
        </w:rPr>
        <w:t>明</w:t>
      </w:r>
      <w:bookmarkEnd w:id="0"/>
      <w:bookmarkEnd w:id="1"/>
      <w:bookmarkEnd w:id="2"/>
      <w:bookmarkEnd w:id="3"/>
      <w:bookmarkEnd w:id="4"/>
      <w:bookmarkEnd w:id="5"/>
      <w:bookmarkEnd w:id="6"/>
      <w:bookmarkEnd w:id="7"/>
      <w:bookmarkEnd w:id="8"/>
      <w:bookmarkEnd w:id="9"/>
      <w:bookmarkEnd w:id="10"/>
    </w:p>
    <w:p>
      <w:pPr>
        <w:pStyle w:val="6"/>
        <w:keepNext w:val="0"/>
        <w:keepLines w:val="0"/>
        <w:adjustRightInd w:val="0"/>
        <w:snapToGrid w:val="0"/>
        <w:spacing w:before="0" w:after="0" w:line="560" w:lineRule="exact"/>
        <w:ind w:firstLine="560"/>
        <w:rPr>
          <w:snapToGrid w:val="0"/>
          <w:lang w:val="zh-CN"/>
        </w:rPr>
      </w:pPr>
      <w:bookmarkStart w:id="11" w:name="_Toc20762"/>
      <w:bookmarkStart w:id="12" w:name="_Toc29302"/>
      <w:bookmarkStart w:id="13" w:name="_Toc24946"/>
      <w:bookmarkStart w:id="14" w:name="_Toc16443"/>
      <w:bookmarkStart w:id="15" w:name="_Toc112879271"/>
      <w:bookmarkStart w:id="16" w:name="_Toc26082"/>
      <w:bookmarkStart w:id="17" w:name="_Toc31512"/>
      <w:r>
        <w:rPr>
          <w:rFonts w:ascii="黑体" w:hAnsi="黑体"/>
          <w:b w:val="0"/>
        </w:rPr>
        <w:t>1.概述</w:t>
      </w:r>
      <w:bookmarkEnd w:id="11"/>
      <w:bookmarkEnd w:id="12"/>
      <w:bookmarkEnd w:id="13"/>
      <w:bookmarkEnd w:id="14"/>
      <w:bookmarkEnd w:id="15"/>
      <w:bookmarkEnd w:id="16"/>
      <w:bookmarkEnd w:id="17"/>
    </w:p>
    <w:p>
      <w:pPr>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1.1本文件适用于军队物资类询价采购项目，用于明确一般性组织程序和实施要求。报价供应商应当结合采购项目询价文件的专用文件，全面了解采购项目信息。</w:t>
      </w:r>
    </w:p>
    <w:p>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lang w:val="zh-CN"/>
        </w:rPr>
        <w:t>1.2</w:t>
      </w:r>
      <w:r>
        <w:rPr>
          <w:rFonts w:hint="eastAsia" w:ascii="宋体" w:hAnsi="宋体"/>
          <w:bCs/>
          <w:snapToGrid w:val="0"/>
          <w:sz w:val="28"/>
          <w:szCs w:val="28"/>
          <w:lang w:val="zh-CN"/>
        </w:rPr>
        <w:t>参与</w:t>
      </w:r>
      <w:r>
        <w:rPr>
          <w:rFonts w:hint="eastAsia" w:ascii="宋体" w:hAnsi="宋体"/>
          <w:bCs/>
          <w:snapToGrid w:val="0"/>
          <w:sz w:val="28"/>
          <w:szCs w:val="28"/>
        </w:rPr>
        <w:t>询价的各参加方，对在参与询价过程中获悉的国家、军队和商业秘密，以及其他依法应当保密的内容，均负有保密义务，违者应当承担相应的法律责任。</w:t>
      </w:r>
    </w:p>
    <w:p>
      <w:pPr>
        <w:pStyle w:val="6"/>
        <w:keepNext w:val="0"/>
        <w:keepLines w:val="0"/>
        <w:adjustRightInd w:val="0"/>
        <w:snapToGrid w:val="0"/>
        <w:spacing w:before="0" w:after="0" w:line="560" w:lineRule="exact"/>
        <w:ind w:firstLine="560"/>
        <w:rPr>
          <w:rFonts w:ascii="黑体" w:hAnsi="黑体"/>
          <w:b w:val="0"/>
        </w:rPr>
      </w:pPr>
      <w:bookmarkStart w:id="18" w:name="_Toc2684"/>
      <w:bookmarkStart w:id="19" w:name="_Toc3741"/>
      <w:bookmarkStart w:id="20" w:name="_Toc8240"/>
      <w:bookmarkStart w:id="21" w:name="_Toc20291"/>
      <w:bookmarkStart w:id="22" w:name="_Toc3929"/>
      <w:bookmarkStart w:id="23" w:name="_Toc112879272"/>
      <w:bookmarkStart w:id="24" w:name="_Toc5400"/>
      <w:r>
        <w:rPr>
          <w:rFonts w:ascii="黑体" w:hAnsi="黑体"/>
          <w:b w:val="0"/>
        </w:rPr>
        <w:t>2.定义</w:t>
      </w:r>
      <w:bookmarkEnd w:id="18"/>
      <w:bookmarkEnd w:id="19"/>
      <w:bookmarkEnd w:id="20"/>
      <w:bookmarkEnd w:id="21"/>
      <w:bookmarkEnd w:id="22"/>
      <w:bookmarkEnd w:id="23"/>
      <w:bookmarkEnd w:id="24"/>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指本询价文件描述的所需采购的物资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w:t>
      </w:r>
      <w:r>
        <w:rPr>
          <w:rFonts w:hint="eastAsia" w:ascii="宋体" w:hAnsi="宋体"/>
          <w:bCs/>
          <w:snapToGrid w:val="0"/>
          <w:sz w:val="28"/>
          <w:szCs w:val="28"/>
        </w:rPr>
        <w:t>询价</w:t>
      </w:r>
      <w:r>
        <w:rPr>
          <w:rFonts w:ascii="宋体" w:hAnsi="宋体"/>
          <w:bCs/>
          <w:snapToGrid w:val="0"/>
          <w:sz w:val="28"/>
          <w:szCs w:val="28"/>
        </w:rPr>
        <w:t>的</w:t>
      </w:r>
      <w:r>
        <w:rPr>
          <w:rFonts w:ascii="宋体" w:hAnsi="宋体"/>
          <w:bCs/>
          <w:sz w:val="28"/>
          <w:szCs w:val="28"/>
        </w:rPr>
        <w:t>采购机构</w:t>
      </w:r>
      <w:r>
        <w:rPr>
          <w:rFonts w:hint="eastAsia" w:ascii="宋体" w:hAnsi="宋体"/>
          <w:bCs/>
          <w:sz w:val="28"/>
          <w:szCs w:val="28"/>
        </w:rPr>
        <w:t>或代理机构</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w:t>
      </w:r>
      <w:r>
        <w:rPr>
          <w:rFonts w:hint="eastAsia" w:ascii="宋体" w:hAnsi="宋体"/>
          <w:bCs/>
          <w:snapToGrid w:val="0"/>
          <w:sz w:val="28"/>
          <w:szCs w:val="28"/>
        </w:rPr>
        <w:t>报价</w:t>
      </w:r>
      <w:r>
        <w:rPr>
          <w:rFonts w:ascii="宋体" w:hAnsi="宋体"/>
          <w:bCs/>
          <w:snapToGrid w:val="0"/>
          <w:sz w:val="28"/>
          <w:szCs w:val="28"/>
        </w:rPr>
        <w:t>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询价</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25" w:name="_Hlk112421795"/>
      <w:r>
        <w:rPr>
          <w:rFonts w:hint="eastAsia" w:ascii="宋体" w:hAnsi="宋体"/>
          <w:bCs/>
          <w:snapToGrid w:val="0"/>
          <w:sz w:val="28"/>
          <w:szCs w:val="28"/>
        </w:rPr>
        <w:t>预</w:t>
      </w:r>
      <w:r>
        <w:rPr>
          <w:rFonts w:ascii="宋体" w:hAnsi="宋体"/>
          <w:bCs/>
          <w:snapToGrid w:val="0"/>
          <w:sz w:val="28"/>
          <w:szCs w:val="28"/>
        </w:rPr>
        <w:t>成交供应商</w:t>
      </w:r>
      <w:bookmarkEnd w:id="25"/>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r>
        <w:rPr>
          <w:rFonts w:hint="eastAsia" w:ascii="宋体" w:hAnsi="宋体"/>
          <w:bCs/>
          <w:snapToGrid w:val="0"/>
          <w:sz w:val="28"/>
          <w:szCs w:val="28"/>
          <w:lang w:val="zh-CN"/>
        </w:rPr>
        <w:t>获得成交资格</w:t>
      </w:r>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2.6“成交供应商”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bookmarkStart w:id="26" w:name="_Hlk112351339"/>
      <w:bookmarkStart w:id="27" w:name="_Hlk112259183"/>
      <w:r>
        <w:rPr>
          <w:rFonts w:hint="eastAsia" w:ascii="宋体" w:hAnsi="宋体"/>
          <w:bCs/>
          <w:snapToGrid w:val="0"/>
          <w:sz w:val="28"/>
          <w:szCs w:val="28"/>
          <w:lang w:val="zh-CN"/>
        </w:rPr>
        <w:t>获得合同签订资格</w:t>
      </w:r>
      <w:bookmarkEnd w:id="26"/>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bookmarkEnd w:id="27"/>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2.7“物资”</w:t>
      </w:r>
      <w:r>
        <w:rPr>
          <w:rFonts w:hint="eastAsia" w:ascii="宋体" w:hAnsi="宋体"/>
          <w:bCs/>
          <w:snapToGrid w:val="0"/>
          <w:sz w:val="28"/>
          <w:szCs w:val="28"/>
        </w:rPr>
        <w:t>是</w:t>
      </w:r>
      <w:r>
        <w:rPr>
          <w:rFonts w:ascii="宋体" w:hAnsi="宋体"/>
          <w:bCs/>
          <w:snapToGrid w:val="0"/>
          <w:sz w:val="28"/>
          <w:szCs w:val="28"/>
        </w:rPr>
        <w:t>指成交供应商按询价文件规定，提供的各种形态和种类的物品，包括设备、产品、备品备件、工具、手册等</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指成交供应商按询价文件规定，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pPr>
        <w:pStyle w:val="6"/>
        <w:keepNext w:val="0"/>
        <w:keepLines w:val="0"/>
        <w:adjustRightInd w:val="0"/>
        <w:snapToGrid w:val="0"/>
        <w:spacing w:before="0" w:after="0" w:line="560" w:lineRule="exact"/>
        <w:ind w:firstLine="560"/>
        <w:rPr>
          <w:rFonts w:ascii="黑体" w:hAnsi="黑体"/>
          <w:b w:val="0"/>
        </w:rPr>
      </w:pPr>
      <w:bookmarkStart w:id="28" w:name="_Toc17691"/>
      <w:bookmarkStart w:id="29" w:name="_Toc112879273"/>
      <w:bookmarkStart w:id="30" w:name="_Toc1142"/>
      <w:bookmarkStart w:id="31" w:name="_Toc22580"/>
      <w:bookmarkStart w:id="32" w:name="_Toc28235"/>
      <w:bookmarkStart w:id="33" w:name="_Toc9364"/>
      <w:bookmarkStart w:id="34" w:name="_Toc2662"/>
      <w:r>
        <w:rPr>
          <w:rFonts w:ascii="黑体" w:hAnsi="黑体"/>
          <w:b w:val="0"/>
        </w:rPr>
        <w:t>3.合格的</w:t>
      </w:r>
      <w:r>
        <w:rPr>
          <w:rFonts w:hint="eastAsia" w:ascii="黑体" w:hAnsi="黑体"/>
          <w:b w:val="0"/>
        </w:rPr>
        <w:t>报价</w:t>
      </w:r>
      <w:r>
        <w:rPr>
          <w:rFonts w:ascii="黑体" w:hAnsi="黑体"/>
          <w:b w:val="0"/>
        </w:rPr>
        <w:t>供应商</w:t>
      </w:r>
      <w:bookmarkEnd w:id="28"/>
      <w:bookmarkEnd w:id="29"/>
      <w:bookmarkEnd w:id="30"/>
      <w:bookmarkEnd w:id="31"/>
      <w:bookmarkEnd w:id="32"/>
      <w:bookmarkEnd w:id="33"/>
      <w:bookmarkEnd w:id="34"/>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w:t>
      </w:r>
      <w:r>
        <w:rPr>
          <w:rFonts w:hint="eastAsia" w:ascii="宋体" w:hAnsi="宋体"/>
          <w:bCs/>
          <w:snapToGrid w:val="0"/>
          <w:sz w:val="28"/>
          <w:szCs w:val="28"/>
        </w:rPr>
        <w:t>询价</w:t>
      </w:r>
      <w:r>
        <w:rPr>
          <w:rFonts w:ascii="宋体" w:hAnsi="宋体"/>
          <w:bCs/>
          <w:snapToGrid w:val="0"/>
          <w:sz w:val="28"/>
          <w:szCs w:val="28"/>
        </w:rPr>
        <w:t>的有关规定</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询价文件的专用文件</w:t>
      </w:r>
      <w:r>
        <w:rPr>
          <w:rFonts w:hint="eastAsia" w:asciiTheme="minorEastAsia" w:hAnsiTheme="minorEastAsia" w:eastAsiaTheme="minorEastAsia"/>
          <w:bCs/>
          <w:sz w:val="28"/>
          <w:szCs w:val="28"/>
        </w:rPr>
        <w:t>【报价供应商须知前附表】</w:t>
      </w:r>
      <w:r>
        <w:rPr>
          <w:rFonts w:ascii="宋体" w:hAnsi="宋体"/>
          <w:bCs/>
          <w:snapToGrid w:val="0"/>
          <w:sz w:val="28"/>
          <w:szCs w:val="28"/>
        </w:rPr>
        <w:t>所述的</w:t>
      </w:r>
      <w:r>
        <w:rPr>
          <w:rFonts w:hint="eastAsia" w:ascii="宋体" w:hAnsi="宋体"/>
          <w:bCs/>
          <w:snapToGrid w:val="0"/>
          <w:sz w:val="28"/>
          <w:szCs w:val="28"/>
        </w:rPr>
        <w:t>报价</w:t>
      </w:r>
      <w:r>
        <w:rPr>
          <w:rFonts w:ascii="宋体" w:hAnsi="宋体"/>
          <w:bCs/>
          <w:snapToGrid w:val="0"/>
          <w:sz w:val="28"/>
          <w:szCs w:val="28"/>
        </w:rPr>
        <w:t>供应商资格条件</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w:t>
      </w:r>
      <w:r>
        <w:rPr>
          <w:rFonts w:hint="eastAsia" w:ascii="宋体" w:hAnsi="宋体"/>
          <w:bCs/>
          <w:snapToGrid w:val="0"/>
          <w:sz w:val="28"/>
          <w:szCs w:val="28"/>
        </w:rPr>
        <w:t>报价文件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pPr>
        <w:pStyle w:val="6"/>
        <w:keepNext w:val="0"/>
        <w:keepLines w:val="0"/>
        <w:adjustRightInd w:val="0"/>
        <w:snapToGrid w:val="0"/>
        <w:spacing w:before="0" w:after="0" w:line="560" w:lineRule="exact"/>
        <w:ind w:firstLine="560"/>
        <w:rPr>
          <w:rFonts w:ascii="黑体" w:hAnsi="黑体"/>
          <w:b w:val="0"/>
        </w:rPr>
      </w:pPr>
      <w:bookmarkStart w:id="35" w:name="_Toc26234"/>
      <w:bookmarkStart w:id="36" w:name="_Toc12151"/>
      <w:bookmarkStart w:id="37" w:name="_Toc21993"/>
      <w:bookmarkStart w:id="38" w:name="_Toc6926"/>
      <w:bookmarkStart w:id="39" w:name="_Toc22952"/>
      <w:bookmarkStart w:id="40" w:name="_Toc112879274"/>
      <w:bookmarkStart w:id="41" w:name="_Toc26508"/>
      <w:r>
        <w:rPr>
          <w:rFonts w:ascii="黑体" w:hAnsi="黑体"/>
          <w:b w:val="0"/>
        </w:rPr>
        <w:t>4.</w:t>
      </w:r>
      <w:r>
        <w:rPr>
          <w:rFonts w:hint="eastAsia" w:ascii="黑体" w:hAnsi="黑体"/>
          <w:b w:val="0"/>
        </w:rPr>
        <w:t>合格的物资及其相关服务</w:t>
      </w:r>
      <w:bookmarkEnd w:id="35"/>
      <w:bookmarkEnd w:id="36"/>
      <w:bookmarkEnd w:id="37"/>
      <w:bookmarkEnd w:id="38"/>
      <w:bookmarkEnd w:id="39"/>
      <w:bookmarkEnd w:id="40"/>
      <w:bookmarkEnd w:id="41"/>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4.1</w:t>
      </w:r>
      <w:r>
        <w:rPr>
          <w:rFonts w:hint="eastAsia" w:ascii="宋体" w:hAnsi="宋体"/>
          <w:bCs/>
          <w:snapToGrid w:val="0"/>
          <w:sz w:val="28"/>
          <w:szCs w:val="28"/>
        </w:rPr>
        <w:t>报价</w:t>
      </w:r>
      <w:r>
        <w:rPr>
          <w:rFonts w:ascii="宋体" w:hAnsi="宋体"/>
          <w:bCs/>
          <w:snapToGrid w:val="0"/>
          <w:sz w:val="28"/>
          <w:szCs w:val="28"/>
        </w:rPr>
        <w:t>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w:t>
      </w:r>
      <w:r>
        <w:rPr>
          <w:rFonts w:hint="eastAsia" w:ascii="宋体" w:hAnsi="宋体"/>
          <w:bCs/>
          <w:snapToGrid w:val="0"/>
          <w:sz w:val="28"/>
          <w:szCs w:val="28"/>
        </w:rPr>
        <w:t>报价</w:t>
      </w:r>
      <w:r>
        <w:rPr>
          <w:rFonts w:ascii="宋体" w:hAnsi="宋体"/>
          <w:bCs/>
          <w:snapToGrid w:val="0"/>
          <w:sz w:val="28"/>
          <w:szCs w:val="28"/>
        </w:rPr>
        <w:t>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未使用过的，物资和相关服务应当符合询价文件要求。</w:t>
      </w:r>
    </w:p>
    <w:p>
      <w:pPr>
        <w:pStyle w:val="6"/>
        <w:keepNext w:val="0"/>
        <w:keepLines w:val="0"/>
        <w:adjustRightInd w:val="0"/>
        <w:snapToGrid w:val="0"/>
        <w:spacing w:before="0" w:after="0" w:line="560" w:lineRule="exact"/>
        <w:ind w:firstLine="560"/>
        <w:rPr>
          <w:rFonts w:ascii="黑体" w:hAnsi="黑体"/>
          <w:b w:val="0"/>
        </w:rPr>
      </w:pPr>
      <w:bookmarkStart w:id="42" w:name="_Toc19067"/>
      <w:bookmarkStart w:id="43" w:name="_Toc5942"/>
      <w:bookmarkStart w:id="44" w:name="_Toc30836"/>
      <w:bookmarkStart w:id="45" w:name="_Toc8971"/>
      <w:bookmarkStart w:id="46" w:name="_Toc112879275"/>
      <w:bookmarkStart w:id="47" w:name="_Toc3064"/>
      <w:bookmarkStart w:id="48" w:name="_Toc12010"/>
      <w:r>
        <w:rPr>
          <w:rFonts w:ascii="黑体" w:hAnsi="黑体"/>
          <w:b w:val="0"/>
        </w:rPr>
        <w:t>5.</w:t>
      </w:r>
      <w:r>
        <w:rPr>
          <w:rFonts w:hint="eastAsia" w:ascii="黑体" w:hAnsi="黑体"/>
          <w:b w:val="0"/>
        </w:rPr>
        <w:t>授权委托</w:t>
      </w:r>
      <w:bookmarkEnd w:id="42"/>
      <w:bookmarkEnd w:id="43"/>
      <w:bookmarkEnd w:id="44"/>
      <w:bookmarkEnd w:id="45"/>
      <w:bookmarkEnd w:id="46"/>
      <w:bookmarkEnd w:id="47"/>
      <w:bookmarkEnd w:id="48"/>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5.1</w:t>
      </w:r>
      <w:r>
        <w:rPr>
          <w:rFonts w:hint="eastAsia"/>
          <w:bCs/>
          <w:snapToGrid w:val="0"/>
          <w:sz w:val="28"/>
          <w:szCs w:val="28"/>
        </w:rPr>
        <w:t>如报价供应商代表不是</w:t>
      </w:r>
      <w:r>
        <w:rPr>
          <w:rFonts w:hint="eastAsia" w:asciiTheme="minorEastAsia" w:hAnsiTheme="minorEastAsia" w:eastAsiaTheme="minorEastAsia"/>
          <w:bCs/>
          <w:snapToGrid w:val="0"/>
          <w:sz w:val="28"/>
          <w:szCs w:val="28"/>
        </w:rPr>
        <w:t>法定代表人，应当在报价文件中提供《法定代表人授权书》，后附授权代表在报价前4个月内（不含报价当月）连续3个月</w:t>
      </w:r>
      <w:r>
        <w:rPr>
          <w:rFonts w:hint="eastAsia"/>
          <w:bCs/>
          <w:snapToGrid w:val="0"/>
          <w:sz w:val="28"/>
          <w:szCs w:val="28"/>
        </w:rPr>
        <w:t>由报价供应商缴纳社保证明材料。</w:t>
      </w:r>
      <w:r>
        <w:rPr>
          <w:rFonts w:hint="eastAsia" w:asciiTheme="majorEastAsia" w:hAnsiTheme="majorEastAsia" w:eastAsiaTheme="majorEastAsia"/>
          <w:bCs/>
          <w:snapToGrid w:val="0"/>
          <w:sz w:val="28"/>
          <w:szCs w:val="28"/>
        </w:rPr>
        <w:t>代缴社保证明材料不予认可。</w:t>
      </w:r>
    </w:p>
    <w:p>
      <w:pPr>
        <w:pStyle w:val="6"/>
        <w:keepNext w:val="0"/>
        <w:keepLines w:val="0"/>
        <w:adjustRightInd w:val="0"/>
        <w:snapToGrid w:val="0"/>
        <w:spacing w:before="0" w:after="0" w:line="560" w:lineRule="exact"/>
        <w:ind w:firstLine="560"/>
        <w:rPr>
          <w:rFonts w:ascii="黑体" w:hAnsi="黑体"/>
          <w:b w:val="0"/>
        </w:rPr>
      </w:pPr>
      <w:bookmarkStart w:id="49" w:name="_Toc7136"/>
      <w:bookmarkStart w:id="50" w:name="_Toc11716"/>
      <w:bookmarkStart w:id="51" w:name="_Toc9108"/>
      <w:bookmarkStart w:id="52" w:name="_Toc23528"/>
      <w:bookmarkStart w:id="53" w:name="_Toc5021"/>
      <w:bookmarkStart w:id="54" w:name="_Toc112879276"/>
      <w:bookmarkStart w:id="55" w:name="_Toc3925"/>
      <w:r>
        <w:rPr>
          <w:rFonts w:ascii="黑体" w:hAnsi="黑体"/>
          <w:b w:val="0"/>
        </w:rPr>
        <w:t>6.</w:t>
      </w:r>
      <w:r>
        <w:rPr>
          <w:rFonts w:hint="eastAsia" w:ascii="黑体" w:hAnsi="黑体"/>
          <w:b w:val="0"/>
        </w:rPr>
        <w:t>询价费用</w:t>
      </w:r>
      <w:bookmarkEnd w:id="49"/>
      <w:bookmarkEnd w:id="50"/>
      <w:bookmarkEnd w:id="51"/>
      <w:bookmarkEnd w:id="52"/>
      <w:bookmarkEnd w:id="53"/>
      <w:bookmarkEnd w:id="54"/>
      <w:bookmarkEnd w:id="55"/>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6.1</w:t>
      </w:r>
      <w:r>
        <w:rPr>
          <w:rFonts w:hint="eastAsia"/>
          <w:bCs/>
          <w:snapToGrid w:val="0"/>
          <w:sz w:val="28"/>
          <w:szCs w:val="28"/>
        </w:rPr>
        <w:t>无论询价结果如何，报价供应商均应当自行承担准备和参加询价相关的全部费用。</w:t>
      </w:r>
    </w:p>
    <w:p>
      <w:pPr>
        <w:pStyle w:val="6"/>
        <w:keepNext w:val="0"/>
        <w:keepLines w:val="0"/>
        <w:adjustRightInd w:val="0"/>
        <w:snapToGrid w:val="0"/>
        <w:spacing w:before="0" w:after="0" w:line="560" w:lineRule="exact"/>
        <w:ind w:firstLine="560"/>
        <w:rPr>
          <w:rFonts w:ascii="黑体" w:hAnsi="黑体"/>
          <w:b w:val="0"/>
        </w:rPr>
      </w:pPr>
      <w:bookmarkStart w:id="56" w:name="_Toc18630"/>
      <w:bookmarkStart w:id="57" w:name="_Toc12439"/>
      <w:bookmarkStart w:id="58" w:name="_Toc19687"/>
      <w:bookmarkStart w:id="59" w:name="_Toc3330"/>
      <w:bookmarkStart w:id="60" w:name="_Toc18836"/>
      <w:bookmarkStart w:id="61" w:name="_Toc14191"/>
      <w:bookmarkStart w:id="62" w:name="_Toc112879277"/>
      <w:bookmarkStart w:id="63" w:name="_Toc112317768"/>
      <w:r>
        <w:rPr>
          <w:rFonts w:ascii="黑体" w:hAnsi="黑体"/>
          <w:b w:val="0"/>
        </w:rPr>
        <w:t>7.</w:t>
      </w:r>
      <w:r>
        <w:rPr>
          <w:rFonts w:hint="eastAsia" w:ascii="黑体" w:hAnsi="黑体"/>
          <w:b w:val="0"/>
        </w:rPr>
        <w:t>组织现场踏勘或召开标前答疑会</w:t>
      </w:r>
      <w:bookmarkEnd w:id="56"/>
      <w:bookmarkEnd w:id="57"/>
      <w:bookmarkEnd w:id="58"/>
      <w:bookmarkEnd w:id="59"/>
      <w:bookmarkEnd w:id="60"/>
      <w:bookmarkEnd w:id="61"/>
      <w:bookmarkEnd w:id="62"/>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【报价供应商须知前附表】明确的询价文件申领时间截止后，组织已获取询价文件的报价供应商现场踏勘或召开标前答疑会。</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申领询价文件的供应商按</w:t>
      </w:r>
      <w:r>
        <w:rPr>
          <w:rFonts w:hint="eastAsia" w:asciiTheme="minorEastAsia" w:hAnsiTheme="minorEastAsia" w:eastAsiaTheme="minorEastAsia"/>
          <w:bCs/>
          <w:sz w:val="28"/>
          <w:szCs w:val="28"/>
        </w:rPr>
        <w:t>【报价供应商须知前附表】明确的要求参加现场踏勘或标前答疑会；如不参加，风险自行承担。</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7.4采购机构不对</w:t>
      </w:r>
      <w:r>
        <w:rPr>
          <w:rFonts w:hint="eastAsia" w:asciiTheme="minorEastAsia" w:hAnsiTheme="minorEastAsia" w:eastAsiaTheme="minorEastAsia"/>
          <w:bCs/>
          <w:sz w:val="28"/>
          <w:szCs w:val="28"/>
        </w:rPr>
        <w:t>询价文件或最终书面答复之外，报价供应商自行得出的推论、理解和结论</w:t>
      </w:r>
      <w:r>
        <w:rPr>
          <w:rFonts w:asciiTheme="minorEastAsia" w:hAnsiTheme="minorEastAsia" w:eastAsiaTheme="minorEastAsia"/>
          <w:bCs/>
          <w:sz w:val="28"/>
          <w:szCs w:val="28"/>
        </w:rPr>
        <w:t>负责。</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bCs/>
          <w:sz w:val="28"/>
          <w:szCs w:val="28"/>
        </w:rPr>
        <w:t>未参加现场踏勘或</w:t>
      </w:r>
      <w:r>
        <w:rPr>
          <w:rFonts w:hint="eastAsia" w:asciiTheme="minorEastAsia" w:hAnsiTheme="minorEastAsia" w:eastAsiaTheme="minorEastAsia"/>
          <w:bCs/>
          <w:sz w:val="28"/>
          <w:szCs w:val="28"/>
        </w:rPr>
        <w:t>标前</w:t>
      </w:r>
      <w:r>
        <w:rPr>
          <w:rFonts w:hint="eastAsia"/>
          <w:bCs/>
          <w:sz w:val="28"/>
          <w:szCs w:val="28"/>
        </w:rPr>
        <w:t>答疑会的，</w:t>
      </w:r>
      <w:r>
        <w:rPr>
          <w:rFonts w:asciiTheme="minorEastAsia" w:hAnsiTheme="minorEastAsia" w:eastAsiaTheme="minorEastAsia"/>
          <w:bCs/>
          <w:sz w:val="28"/>
          <w:szCs w:val="28"/>
        </w:rPr>
        <w:t>一旦成交，不得以任何借口，提出额外补偿或延长合同期限</w:t>
      </w:r>
      <w:r>
        <w:rPr>
          <w:rFonts w:hint="eastAsia" w:asciiTheme="minorEastAsia" w:hAnsiTheme="minorEastAsia" w:eastAsiaTheme="minorEastAsia"/>
          <w:bCs/>
          <w:sz w:val="28"/>
          <w:szCs w:val="28"/>
        </w:rPr>
        <w:t>等不合理</w:t>
      </w:r>
      <w:r>
        <w:rPr>
          <w:rFonts w:asciiTheme="minorEastAsia" w:hAnsiTheme="minorEastAsia" w:eastAsiaTheme="minorEastAsia"/>
          <w:bCs/>
          <w:sz w:val="28"/>
          <w:szCs w:val="28"/>
        </w:rPr>
        <w:t>要求。</w:t>
      </w:r>
    </w:p>
    <w:p>
      <w:pPr>
        <w:pStyle w:val="6"/>
        <w:keepNext w:val="0"/>
        <w:keepLines w:val="0"/>
        <w:adjustRightInd w:val="0"/>
        <w:snapToGrid w:val="0"/>
        <w:spacing w:before="0" w:after="0" w:line="560" w:lineRule="exact"/>
        <w:ind w:firstLine="560"/>
        <w:rPr>
          <w:rFonts w:ascii="黑体" w:hAnsi="黑体"/>
          <w:b w:val="0"/>
        </w:rPr>
      </w:pPr>
      <w:bookmarkStart w:id="64" w:name="_Toc4333"/>
      <w:bookmarkStart w:id="65" w:name="_Toc19967"/>
      <w:bookmarkStart w:id="66" w:name="_Toc5463"/>
      <w:bookmarkStart w:id="67" w:name="_Toc112879278"/>
      <w:bookmarkStart w:id="68" w:name="_Toc27748"/>
      <w:bookmarkStart w:id="69" w:name="_Toc28419"/>
      <w:bookmarkStart w:id="70" w:name="_Toc4018"/>
      <w:r>
        <w:rPr>
          <w:rFonts w:ascii="黑体" w:hAnsi="黑体"/>
          <w:b w:val="0"/>
        </w:rPr>
        <w:t>8.</w:t>
      </w:r>
      <w:r>
        <w:rPr>
          <w:rFonts w:hint="eastAsia" w:ascii="黑体" w:hAnsi="黑体"/>
          <w:b w:val="0"/>
        </w:rPr>
        <w:t>信息发布及媒体</w:t>
      </w:r>
      <w:bookmarkEnd w:id="64"/>
      <w:bookmarkEnd w:id="65"/>
      <w:bookmarkEnd w:id="66"/>
      <w:bookmarkEnd w:id="67"/>
      <w:bookmarkEnd w:id="68"/>
      <w:bookmarkEnd w:id="69"/>
      <w:bookmarkEnd w:id="70"/>
    </w:p>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w:t>
      </w:r>
      <w:r>
        <w:rPr>
          <w:rFonts w:hint="eastAsia" w:ascii="宋体" w:hAnsi="宋体"/>
          <w:bCs/>
          <w:snapToGrid w:val="0"/>
          <w:sz w:val="28"/>
          <w:szCs w:val="28"/>
        </w:rPr>
        <w:t>报价</w:t>
      </w:r>
      <w:r>
        <w:rPr>
          <w:rFonts w:ascii="宋体" w:hAnsi="宋体"/>
          <w:bCs/>
          <w:snapToGrid w:val="0"/>
          <w:sz w:val="28"/>
          <w:szCs w:val="28"/>
        </w:rPr>
        <w:t>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71" w:name="_Hlk112497301"/>
      <w:r>
        <w:rPr>
          <w:rFonts w:hint="eastAsia" w:asciiTheme="minorEastAsia" w:hAnsiTheme="minorEastAsia" w:eastAsiaTheme="minorEastAsia"/>
          <w:bCs/>
          <w:sz w:val="28"/>
          <w:szCs w:val="28"/>
        </w:rPr>
        <w:t>【报价供应商须知前附表】明确的</w:t>
      </w:r>
      <w:r>
        <w:rPr>
          <w:rFonts w:ascii="宋体" w:hAnsi="宋体"/>
          <w:bCs/>
          <w:snapToGrid w:val="0"/>
          <w:sz w:val="28"/>
          <w:szCs w:val="28"/>
        </w:rPr>
        <w:t>媒体上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bookmarkEnd w:id="71"/>
    </w:p>
    <w:p>
      <w:pPr>
        <w:pStyle w:val="5"/>
        <w:keepNext w:val="0"/>
        <w:keepLines w:val="0"/>
        <w:adjustRightInd w:val="0"/>
        <w:snapToGrid w:val="0"/>
        <w:spacing w:before="120" w:beforeLines="50" w:after="120" w:afterLines="50" w:line="560" w:lineRule="exact"/>
        <w:jc w:val="center"/>
        <w:rPr>
          <w:b w:val="0"/>
        </w:rPr>
      </w:pPr>
      <w:bookmarkStart w:id="72" w:name="_Toc3426"/>
      <w:bookmarkStart w:id="73" w:name="_Toc24224"/>
      <w:bookmarkStart w:id="74" w:name="_Toc1455"/>
      <w:bookmarkStart w:id="75" w:name="_Toc112879279"/>
      <w:bookmarkStart w:id="76" w:name="_Toc22671"/>
      <w:bookmarkStart w:id="77" w:name="_Toc10445"/>
      <w:bookmarkStart w:id="78" w:name="_Toc3795"/>
      <w:bookmarkStart w:id="79" w:name="_Toc150422526"/>
      <w:bookmarkStart w:id="80" w:name="_Toc132636802"/>
      <w:bookmarkStart w:id="81" w:name="_Toc150422472"/>
      <w:r>
        <w:rPr>
          <w:rFonts w:hint="eastAsia"/>
          <w:b w:val="0"/>
        </w:rPr>
        <w:t>二、询价文件</w:t>
      </w:r>
      <w:bookmarkEnd w:id="63"/>
      <w:bookmarkEnd w:id="72"/>
      <w:bookmarkEnd w:id="73"/>
      <w:bookmarkEnd w:id="74"/>
      <w:bookmarkEnd w:id="75"/>
      <w:bookmarkEnd w:id="76"/>
      <w:bookmarkEnd w:id="77"/>
      <w:bookmarkEnd w:id="78"/>
      <w:r>
        <w:rPr>
          <w:rFonts w:hint="eastAsia"/>
          <w:b w:val="0"/>
        </w:rPr>
        <w:t>的内容及澄清与修改</w:t>
      </w:r>
      <w:bookmarkEnd w:id="79"/>
      <w:bookmarkEnd w:id="80"/>
      <w:bookmarkEnd w:id="81"/>
    </w:p>
    <w:p>
      <w:pPr>
        <w:pStyle w:val="6"/>
        <w:keepNext w:val="0"/>
        <w:keepLines w:val="0"/>
        <w:adjustRightInd w:val="0"/>
        <w:snapToGrid w:val="0"/>
        <w:spacing w:before="0" w:after="0" w:line="560" w:lineRule="exact"/>
        <w:ind w:firstLine="560"/>
        <w:rPr>
          <w:rFonts w:ascii="黑体" w:hAnsi="黑体"/>
          <w:b w:val="0"/>
        </w:rPr>
      </w:pPr>
      <w:bookmarkStart w:id="82" w:name="_Toc27681"/>
      <w:bookmarkStart w:id="83" w:name="_Toc21261"/>
      <w:bookmarkStart w:id="84" w:name="_Toc28728"/>
      <w:bookmarkStart w:id="85" w:name="_Toc6840"/>
      <w:bookmarkStart w:id="86" w:name="_Toc112879280"/>
      <w:bookmarkStart w:id="87" w:name="_Toc30715"/>
      <w:bookmarkStart w:id="88" w:name="_Toc24676"/>
      <w:r>
        <w:rPr>
          <w:rFonts w:ascii="黑体" w:hAnsi="黑体"/>
          <w:b w:val="0"/>
        </w:rPr>
        <w:t>9.</w:t>
      </w:r>
      <w:r>
        <w:rPr>
          <w:rFonts w:hint="eastAsia" w:ascii="黑体" w:hAnsi="黑体"/>
          <w:b w:val="0"/>
        </w:rPr>
        <w:t>询价文件的内容</w:t>
      </w:r>
      <w:bookmarkEnd w:id="82"/>
      <w:bookmarkEnd w:id="83"/>
      <w:bookmarkEnd w:id="84"/>
      <w:bookmarkEnd w:id="85"/>
      <w:bookmarkEnd w:id="86"/>
      <w:bookmarkEnd w:id="87"/>
      <w:bookmarkEnd w:id="88"/>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9.1</w:t>
      </w:r>
      <w:r>
        <w:rPr>
          <w:rFonts w:hint="eastAsia"/>
          <w:bCs/>
          <w:sz w:val="28"/>
          <w:szCs w:val="28"/>
          <w:lang w:val="zh-CN"/>
        </w:rPr>
        <w:t>询价文件由通用文件和专用文</w:t>
      </w:r>
      <w:r>
        <w:rPr>
          <w:rFonts w:hint="eastAsia" w:ascii="宋体" w:hAnsi="宋体"/>
          <w:bCs/>
          <w:sz w:val="28"/>
          <w:szCs w:val="28"/>
          <w:lang w:val="zh-CN"/>
        </w:rPr>
        <w:t>件两部</w:t>
      </w:r>
      <w:r>
        <w:rPr>
          <w:rFonts w:hint="eastAsia"/>
          <w:bCs/>
          <w:sz w:val="28"/>
          <w:szCs w:val="28"/>
          <w:lang w:val="zh-CN"/>
        </w:rPr>
        <w:t>分组成，通用文件载明军队物资类询价项目的一般性说明，专用文件载明本项目特定条件和要求。通用文件与专用文件内容不一致的，以专用文件为准。</w:t>
      </w:r>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9.2</w:t>
      </w:r>
      <w:r>
        <w:rPr>
          <w:rFonts w:hint="eastAsia"/>
          <w:bCs/>
          <w:sz w:val="28"/>
          <w:szCs w:val="28"/>
          <w:lang w:val="zh-CN"/>
        </w:rPr>
        <w:t xml:space="preserve"> </w:t>
      </w:r>
      <w:r>
        <w:rPr>
          <w:rFonts w:hint="eastAsia" w:ascii="宋体" w:hAnsi="宋体"/>
          <w:bCs/>
          <w:sz w:val="28"/>
          <w:szCs w:val="28"/>
        </w:rPr>
        <w:t>询价文件以中文编写。为便于报价供应商编制报价文件，采购机构可以向报价供应商提供电子版询价文件，纸质版与电子版询价文件内容不一致的，以纸质版为准。</w:t>
      </w:r>
    </w:p>
    <w:p>
      <w:pPr>
        <w:pStyle w:val="6"/>
        <w:keepNext w:val="0"/>
        <w:keepLines w:val="0"/>
        <w:adjustRightInd w:val="0"/>
        <w:snapToGrid w:val="0"/>
        <w:spacing w:before="0" w:after="0" w:line="560" w:lineRule="exact"/>
        <w:ind w:firstLine="560"/>
        <w:rPr>
          <w:rFonts w:ascii="黑体" w:hAnsi="黑体"/>
          <w:b w:val="0"/>
        </w:rPr>
      </w:pPr>
      <w:bookmarkStart w:id="89" w:name="_Toc25439"/>
      <w:bookmarkStart w:id="90" w:name="_Toc19070"/>
      <w:bookmarkStart w:id="91" w:name="_Toc1427"/>
      <w:bookmarkStart w:id="92" w:name="_Toc112879281"/>
      <w:bookmarkStart w:id="93" w:name="_Toc15413"/>
      <w:bookmarkStart w:id="94" w:name="_Toc7402"/>
      <w:bookmarkStart w:id="95" w:name="_Toc24881"/>
      <w:r>
        <w:rPr>
          <w:rFonts w:ascii="黑体" w:hAnsi="黑体"/>
          <w:b w:val="0"/>
        </w:rPr>
        <w:t>10.</w:t>
      </w:r>
      <w:r>
        <w:rPr>
          <w:rFonts w:hint="eastAsia" w:ascii="黑体" w:hAnsi="黑体"/>
          <w:b w:val="0"/>
        </w:rPr>
        <w:t>询价文件的澄清</w:t>
      </w:r>
      <w:bookmarkEnd w:id="89"/>
      <w:bookmarkEnd w:id="90"/>
      <w:bookmarkEnd w:id="91"/>
      <w:bookmarkEnd w:id="92"/>
      <w:bookmarkEnd w:id="93"/>
      <w:bookmarkEnd w:id="94"/>
      <w:bookmarkEnd w:id="95"/>
      <w:r>
        <w:rPr>
          <w:rFonts w:hint="eastAsia" w:ascii="黑体" w:hAnsi="黑体"/>
          <w:b w:val="0"/>
        </w:rPr>
        <w:t>与修改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10.1供应商对询价文件如有疑问要求澄清，应当在</w:t>
      </w:r>
      <w:r>
        <w:rPr>
          <w:rFonts w:hint="eastAsia" w:asciiTheme="minorEastAsia" w:hAnsiTheme="minorEastAsia" w:eastAsiaTheme="minorEastAsia"/>
          <w:bCs/>
          <w:sz w:val="28"/>
          <w:szCs w:val="28"/>
        </w:rPr>
        <w:t>【报价供应商须知前附表】明确</w:t>
      </w:r>
      <w:r>
        <w:rPr>
          <w:rFonts w:hint="eastAsia" w:ascii="宋体" w:hAnsi="宋体"/>
          <w:bCs/>
          <w:snapToGrid w:val="0"/>
          <w:sz w:val="28"/>
          <w:szCs w:val="28"/>
          <w:lang w:val="zh-CN"/>
        </w:rPr>
        <w:t>的</w:t>
      </w:r>
      <w:r>
        <w:rPr>
          <w:rFonts w:hint="eastAsia" w:ascii="宋体" w:hAnsi="宋体" w:cs="宋体"/>
          <w:bCs/>
          <w:kern w:val="0"/>
          <w:sz w:val="28"/>
          <w:szCs w:val="28"/>
        </w:rPr>
        <w:t>提交报价文件截止之日</w:t>
      </w:r>
      <w:r>
        <w:rPr>
          <w:rFonts w:ascii="宋体" w:hAnsi="宋体" w:cs="宋体"/>
          <w:bCs/>
          <w:kern w:val="0"/>
          <w:sz w:val="28"/>
          <w:szCs w:val="28"/>
        </w:rPr>
        <w:t>3个工作日前</w:t>
      </w:r>
      <w:r>
        <w:rPr>
          <w:rFonts w:ascii="宋体" w:hAnsi="宋体"/>
          <w:bCs/>
          <w:sz w:val="28"/>
          <w:szCs w:val="28"/>
        </w:rPr>
        <w:t>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已申领询价文件的</w:t>
      </w:r>
      <w:r>
        <w:rPr>
          <w:rFonts w:ascii="宋体" w:hAnsi="宋体"/>
          <w:bCs/>
          <w:sz w:val="28"/>
          <w:szCs w:val="28"/>
        </w:rPr>
        <w:t>供应商。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10.2提交</w:t>
      </w:r>
      <w:r>
        <w:rPr>
          <w:rFonts w:hint="eastAsia" w:ascii="宋体" w:hAnsi="宋体"/>
          <w:bCs/>
          <w:sz w:val="28"/>
          <w:szCs w:val="28"/>
        </w:rPr>
        <w:t>报价文件截止时间前，采购机构可以对已发出的询价文件进行必要的澄清和修改。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10.3澄清的内容不影响报价文件编制的，采购机构可以采取发布澄清公告或书面函告等形式通知所有已申领询价文件的供应商。澄清的内容为询价文件的组成部分。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10.4澄清或修改的内容可能影响报价文件编制的，采购机构将在提交报价文件截止时间</w:t>
      </w:r>
      <w:r>
        <w:rPr>
          <w:rFonts w:ascii="宋体" w:hAnsi="宋体"/>
          <w:bCs/>
          <w:sz w:val="28"/>
          <w:szCs w:val="28"/>
        </w:rPr>
        <w:t>前</w:t>
      </w:r>
      <w:r>
        <w:rPr>
          <w:rFonts w:hint="eastAsia" w:ascii="宋体" w:hAnsi="宋体"/>
          <w:bCs/>
          <w:sz w:val="28"/>
          <w:szCs w:val="28"/>
        </w:rPr>
        <w:t>3个工作日，发布公告并且书面函告所有已申领询价文件的供应商；不足3个工作日的，将相应顺延提交报价文件的截止时间。有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采购标的、关键技术参数、资格条件等内容需修改的，采购机构将重新发布询价公告，并书面函告所有已申领询价文件的供应商。</w:t>
      </w:r>
    </w:p>
    <w:p>
      <w:pPr>
        <w:pStyle w:val="5"/>
        <w:keepNext w:val="0"/>
        <w:keepLines w:val="0"/>
        <w:adjustRightInd w:val="0"/>
        <w:snapToGrid w:val="0"/>
        <w:spacing w:before="120" w:beforeLines="50" w:after="120" w:afterLines="50" w:line="560" w:lineRule="exact"/>
        <w:jc w:val="center"/>
        <w:rPr>
          <w:b w:val="0"/>
        </w:rPr>
      </w:pPr>
      <w:bookmarkStart w:id="96" w:name="_Toc112317769"/>
      <w:bookmarkStart w:id="97" w:name="_Toc12412"/>
      <w:bookmarkStart w:id="98" w:name="_Toc23710"/>
      <w:bookmarkStart w:id="99" w:name="_Toc6196"/>
      <w:bookmarkStart w:id="100" w:name="_Toc17086"/>
      <w:bookmarkStart w:id="101" w:name="_Toc7589"/>
      <w:bookmarkStart w:id="102" w:name="_Toc1599"/>
      <w:bookmarkStart w:id="103" w:name="_Toc112879283"/>
      <w:bookmarkStart w:id="104" w:name="_Toc150422527"/>
      <w:bookmarkStart w:id="105" w:name="_Toc150422473"/>
      <w:bookmarkStart w:id="106" w:name="_Toc132636803"/>
      <w:r>
        <w:rPr>
          <w:rFonts w:hint="eastAsia"/>
          <w:b w:val="0"/>
        </w:rPr>
        <w:t>三、</w:t>
      </w:r>
      <w:bookmarkEnd w:id="96"/>
      <w:r>
        <w:rPr>
          <w:rFonts w:hint="eastAsia"/>
          <w:b w:val="0"/>
        </w:rPr>
        <w:t>报价文件</w:t>
      </w:r>
      <w:bookmarkEnd w:id="97"/>
      <w:bookmarkEnd w:id="98"/>
      <w:bookmarkEnd w:id="99"/>
      <w:bookmarkEnd w:id="100"/>
      <w:bookmarkEnd w:id="101"/>
      <w:bookmarkEnd w:id="102"/>
      <w:bookmarkEnd w:id="103"/>
      <w:r>
        <w:rPr>
          <w:rFonts w:hint="eastAsia"/>
          <w:b w:val="0"/>
        </w:rPr>
        <w:t>的基本要求</w:t>
      </w:r>
      <w:bookmarkEnd w:id="104"/>
      <w:bookmarkEnd w:id="105"/>
      <w:bookmarkEnd w:id="106"/>
    </w:p>
    <w:p>
      <w:pPr>
        <w:pStyle w:val="6"/>
        <w:keepNext w:val="0"/>
        <w:keepLines w:val="0"/>
        <w:adjustRightInd w:val="0"/>
        <w:snapToGrid w:val="0"/>
        <w:spacing w:before="0" w:after="0" w:line="560" w:lineRule="exact"/>
        <w:ind w:firstLine="560"/>
        <w:rPr>
          <w:rFonts w:ascii="黑体" w:hAnsi="黑体"/>
          <w:b w:val="0"/>
        </w:rPr>
      </w:pPr>
      <w:bookmarkStart w:id="107" w:name="_Toc5519"/>
      <w:bookmarkStart w:id="108" w:name="_Toc26601"/>
      <w:bookmarkStart w:id="109" w:name="_Toc112879284"/>
      <w:bookmarkStart w:id="110" w:name="_Toc4438"/>
      <w:bookmarkStart w:id="111" w:name="_Toc23222"/>
      <w:bookmarkStart w:id="112" w:name="_Toc31289"/>
      <w:bookmarkStart w:id="113" w:name="_Toc878"/>
      <w:r>
        <w:rPr>
          <w:rFonts w:ascii="黑体" w:hAnsi="黑体"/>
          <w:b w:val="0"/>
        </w:rPr>
        <w:t>1</w:t>
      </w:r>
      <w:r>
        <w:rPr>
          <w:rFonts w:hint="eastAsia" w:ascii="黑体" w:hAnsi="黑体"/>
          <w:b w:val="0"/>
        </w:rPr>
        <w:t>1</w:t>
      </w:r>
      <w:r>
        <w:rPr>
          <w:rFonts w:ascii="黑体" w:hAnsi="黑体"/>
          <w:b w:val="0"/>
        </w:rPr>
        <w:t>.</w:t>
      </w:r>
      <w:r>
        <w:rPr>
          <w:rFonts w:hint="eastAsia" w:ascii="黑体" w:hAnsi="黑体"/>
          <w:b w:val="0"/>
        </w:rPr>
        <w:t>编制要求</w:t>
      </w:r>
      <w:bookmarkEnd w:id="107"/>
      <w:bookmarkEnd w:id="108"/>
      <w:bookmarkEnd w:id="109"/>
      <w:bookmarkEnd w:id="110"/>
      <w:bookmarkEnd w:id="111"/>
      <w:bookmarkEnd w:id="112"/>
      <w:bookmarkEnd w:id="113"/>
    </w:p>
    <w:p>
      <w:pPr>
        <w:autoSpaceDE w:val="0"/>
        <w:autoSpaceDN w:val="0"/>
        <w:adjustRightInd w:val="0"/>
        <w:snapToGrid w:val="0"/>
        <w:spacing w:line="560" w:lineRule="exact"/>
        <w:ind w:firstLine="565" w:firstLineChars="202"/>
        <w:rPr>
          <w:bCs/>
          <w:sz w:val="28"/>
          <w:szCs w:val="28"/>
        </w:rPr>
      </w:pPr>
      <w:r>
        <w:rPr>
          <w:bCs/>
          <w:snapToGrid w:val="0"/>
          <w:sz w:val="28"/>
          <w:szCs w:val="28"/>
          <w:lang w:val="zh-CN"/>
        </w:rPr>
        <w:t>1</w:t>
      </w:r>
      <w:r>
        <w:rPr>
          <w:rFonts w:hint="eastAsia"/>
          <w:bCs/>
          <w:snapToGrid w:val="0"/>
          <w:sz w:val="28"/>
          <w:szCs w:val="28"/>
          <w:lang w:val="zh-CN"/>
        </w:rPr>
        <w:t>1</w:t>
      </w:r>
      <w:r>
        <w:rPr>
          <w:bCs/>
          <w:snapToGrid w:val="0"/>
          <w:sz w:val="28"/>
          <w:szCs w:val="28"/>
          <w:lang w:val="zh-CN"/>
        </w:rPr>
        <w:t>.1</w:t>
      </w:r>
      <w:r>
        <w:rPr>
          <w:rFonts w:hint="eastAsia"/>
          <w:bCs/>
          <w:snapToGrid w:val="0"/>
          <w:sz w:val="28"/>
          <w:szCs w:val="28"/>
          <w:lang w:val="zh-CN"/>
        </w:rPr>
        <w:t>报价供应商</w:t>
      </w:r>
      <w:r>
        <w:rPr>
          <w:rFonts w:hint="eastAsia"/>
          <w:bCs/>
          <w:snapToGrid w:val="0"/>
          <w:sz w:val="28"/>
          <w:szCs w:val="28"/>
        </w:rPr>
        <w:t>应当仔细阅读询价文件，在完全了解全部内容后，依法真实编制报价文件。</w:t>
      </w:r>
    </w:p>
    <w:p>
      <w:pPr>
        <w:pStyle w:val="6"/>
        <w:keepNext w:val="0"/>
        <w:keepLines w:val="0"/>
        <w:adjustRightInd w:val="0"/>
        <w:snapToGrid w:val="0"/>
        <w:spacing w:before="0" w:after="0" w:line="560" w:lineRule="exact"/>
        <w:ind w:firstLine="560"/>
        <w:rPr>
          <w:rFonts w:ascii="黑体" w:hAnsi="黑体"/>
          <w:b w:val="0"/>
        </w:rPr>
      </w:pPr>
      <w:bookmarkStart w:id="114" w:name="_Toc11346"/>
      <w:bookmarkStart w:id="115" w:name="_Toc112879285"/>
      <w:bookmarkStart w:id="116" w:name="_Toc13320"/>
      <w:bookmarkStart w:id="117" w:name="_Toc25435"/>
      <w:bookmarkStart w:id="118" w:name="_Toc24339"/>
      <w:bookmarkStart w:id="119" w:name="_Toc1883"/>
      <w:bookmarkStart w:id="120" w:name="_Toc22773"/>
      <w:r>
        <w:rPr>
          <w:rFonts w:ascii="黑体" w:hAnsi="黑体"/>
          <w:b w:val="0"/>
        </w:rPr>
        <w:t>1</w:t>
      </w:r>
      <w:r>
        <w:rPr>
          <w:rFonts w:hint="eastAsia" w:ascii="黑体" w:hAnsi="黑体"/>
          <w:b w:val="0"/>
        </w:rPr>
        <w:t>2</w:t>
      </w:r>
      <w:r>
        <w:rPr>
          <w:rFonts w:ascii="黑体" w:hAnsi="黑体"/>
          <w:b w:val="0"/>
        </w:rPr>
        <w:t>.</w:t>
      </w:r>
      <w:r>
        <w:rPr>
          <w:rFonts w:hint="eastAsia" w:ascii="黑体" w:hAnsi="黑体"/>
          <w:b w:val="0"/>
        </w:rPr>
        <w:t>报价文件的语言及计量单位</w:t>
      </w:r>
      <w:bookmarkEnd w:id="114"/>
      <w:bookmarkEnd w:id="115"/>
      <w:bookmarkEnd w:id="116"/>
      <w:bookmarkEnd w:id="117"/>
      <w:bookmarkEnd w:id="118"/>
      <w:bookmarkEnd w:id="119"/>
      <w:bookmarkEnd w:id="120"/>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.1报价文件和</w:t>
      </w:r>
      <w:r>
        <w:rPr>
          <w:rFonts w:hint="eastAsia" w:ascii="宋体" w:hAnsi="宋体"/>
          <w:bCs/>
          <w:sz w:val="28"/>
          <w:szCs w:val="28"/>
          <w:lang w:val="zh-CN"/>
        </w:rPr>
        <w:t>报价</w:t>
      </w:r>
      <w:r>
        <w:rPr>
          <w:rFonts w:hint="eastAsia"/>
          <w:bCs/>
          <w:snapToGrid w:val="0"/>
          <w:sz w:val="28"/>
          <w:szCs w:val="28"/>
          <w:lang w:val="zh-CN"/>
        </w:rPr>
        <w:t>供应商与采购机构就有关询价的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21" w:name="_Hlk130370619"/>
      <w:r>
        <w:rPr>
          <w:rFonts w:hint="eastAsia" w:ascii="黑体" w:hAnsi="黑体" w:eastAsia="黑体"/>
          <w:bCs/>
          <w:sz w:val="28"/>
          <w:szCs w:val="28"/>
          <w:lang w:val="zh-CN"/>
        </w:rPr>
        <w:t>应当</w:t>
      </w:r>
      <w:bookmarkEnd w:id="121"/>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.2报价文件中所使用的计量单位，除报价文件中有特殊要求外，均采用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bookmarkStart w:id="122" w:name="_Toc31087"/>
      <w:bookmarkStart w:id="123" w:name="_Toc14036"/>
      <w:bookmarkStart w:id="124" w:name="_Toc14838"/>
      <w:bookmarkStart w:id="125" w:name="_Toc112879286"/>
      <w:bookmarkStart w:id="126" w:name="_Toc25315"/>
      <w:bookmarkStart w:id="127" w:name="_Toc19321"/>
      <w:bookmarkStart w:id="128" w:name="_Toc3463"/>
      <w:r>
        <w:rPr>
          <w:rFonts w:ascii="黑体" w:hAnsi="黑体"/>
          <w:b w:val="0"/>
        </w:rPr>
        <w:t>1</w:t>
      </w:r>
      <w:r>
        <w:rPr>
          <w:rFonts w:hint="eastAsia" w:ascii="黑体" w:hAnsi="黑体"/>
          <w:b w:val="0"/>
        </w:rPr>
        <w:t>3</w:t>
      </w:r>
      <w:r>
        <w:rPr>
          <w:rFonts w:ascii="黑体" w:hAnsi="黑体"/>
          <w:b w:val="0"/>
        </w:rPr>
        <w:t>.</w:t>
      </w:r>
      <w:r>
        <w:rPr>
          <w:rFonts w:hint="eastAsia" w:ascii="黑体" w:hAnsi="黑体"/>
          <w:b w:val="0"/>
        </w:rPr>
        <w:t>报价文件组成</w:t>
      </w:r>
      <w:bookmarkEnd w:id="122"/>
      <w:bookmarkEnd w:id="123"/>
      <w:bookmarkEnd w:id="124"/>
      <w:bookmarkEnd w:id="125"/>
      <w:bookmarkEnd w:id="126"/>
      <w:bookmarkEnd w:id="127"/>
      <w:bookmarkEnd w:id="1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3</w:t>
      </w:r>
      <w:r>
        <w:rPr>
          <w:rFonts w:ascii="宋体" w:hAnsi="宋体"/>
          <w:bCs/>
          <w:sz w:val="28"/>
          <w:szCs w:val="28"/>
        </w:rPr>
        <w:t>.1</w:t>
      </w:r>
      <w:r>
        <w:rPr>
          <w:rFonts w:hint="eastAsia" w:ascii="宋体" w:hAnsi="宋体"/>
          <w:bCs/>
          <w:sz w:val="28"/>
          <w:szCs w:val="28"/>
        </w:rPr>
        <w:t>报价文件一般由</w:t>
      </w:r>
      <w:bookmarkStart w:id="129" w:name="_Hlk112504983"/>
      <w:r>
        <w:rPr>
          <w:rFonts w:hint="eastAsia" w:ascii="黑体" w:hAnsi="黑体" w:eastAsia="黑体"/>
          <w:bCs/>
          <w:sz w:val="28"/>
          <w:szCs w:val="28"/>
        </w:rPr>
        <w:t>价格文件、</w:t>
      </w:r>
      <w:bookmarkStart w:id="130" w:name="_Hlk112353436"/>
      <w:r>
        <w:rPr>
          <w:rFonts w:hint="eastAsia" w:ascii="黑体" w:hAnsi="黑体" w:eastAsia="黑体"/>
          <w:bCs/>
          <w:sz w:val="28"/>
          <w:szCs w:val="28"/>
        </w:rPr>
        <w:t>商务技术</w:t>
      </w:r>
      <w:bookmarkEnd w:id="130"/>
      <w:r>
        <w:rPr>
          <w:rFonts w:hint="eastAsia" w:ascii="黑体" w:hAnsi="黑体" w:eastAsia="黑体"/>
          <w:bCs/>
          <w:sz w:val="28"/>
          <w:szCs w:val="28"/>
        </w:rPr>
        <w:t>文件、资格证明文件</w:t>
      </w:r>
      <w:r>
        <w:rPr>
          <w:rFonts w:hint="eastAsia" w:ascii="宋体" w:hAnsi="宋体"/>
          <w:bCs/>
          <w:sz w:val="28"/>
          <w:szCs w:val="28"/>
        </w:rPr>
        <w:t>三部分组成。每部分应当分别编制目录，具体要求详见第</w:t>
      </w:r>
      <w:r>
        <w:rPr>
          <w:rFonts w:hint="eastAsia" w:ascii="宋体" w:hAnsi="宋体"/>
          <w:bCs/>
          <w:sz w:val="28"/>
          <w:szCs w:val="28"/>
          <w:lang w:val="en-US" w:eastAsia="zh-CN"/>
        </w:rPr>
        <w:t>四部分</w:t>
      </w:r>
      <w:r>
        <w:rPr>
          <w:rFonts w:hint="eastAsia" w:ascii="宋体" w:hAnsi="宋体"/>
          <w:bCs/>
          <w:sz w:val="28"/>
          <w:szCs w:val="28"/>
        </w:rPr>
        <w:t>报价</w:t>
      </w:r>
      <w:r>
        <w:rPr>
          <w:rFonts w:ascii="宋体" w:hAnsi="宋体"/>
          <w:bCs/>
          <w:sz w:val="28"/>
          <w:szCs w:val="28"/>
        </w:rPr>
        <w:t>文件内容及格式</w:t>
      </w:r>
      <w:r>
        <w:rPr>
          <w:rFonts w:hint="eastAsia" w:ascii="宋体" w:hAnsi="宋体"/>
          <w:bCs/>
          <w:sz w:val="28"/>
          <w:szCs w:val="28"/>
        </w:rPr>
        <w:t>。</w:t>
      </w:r>
    </w:p>
    <w:bookmarkEnd w:id="129"/>
    <w:p>
      <w:pPr>
        <w:pStyle w:val="6"/>
        <w:keepNext w:val="0"/>
        <w:keepLines w:val="0"/>
        <w:adjustRightInd w:val="0"/>
        <w:snapToGrid w:val="0"/>
        <w:spacing w:before="0" w:after="0" w:line="560" w:lineRule="exact"/>
        <w:ind w:firstLine="560"/>
        <w:rPr>
          <w:rFonts w:ascii="黑体" w:hAnsi="黑体"/>
          <w:b w:val="0"/>
        </w:rPr>
      </w:pPr>
      <w:bookmarkStart w:id="131" w:name="_Toc26530"/>
      <w:bookmarkStart w:id="132" w:name="_Toc27352"/>
      <w:bookmarkStart w:id="133" w:name="_Toc16786"/>
      <w:bookmarkStart w:id="134" w:name="_Toc11156"/>
      <w:bookmarkStart w:id="135" w:name="_Toc8377"/>
      <w:bookmarkStart w:id="136" w:name="_Toc31088"/>
      <w:bookmarkStart w:id="137" w:name="_Toc112879287"/>
      <w:r>
        <w:rPr>
          <w:rFonts w:ascii="黑体" w:hAnsi="黑体"/>
          <w:b w:val="0"/>
        </w:rPr>
        <w:t>1</w:t>
      </w:r>
      <w:r>
        <w:rPr>
          <w:rFonts w:hint="eastAsia" w:ascii="黑体" w:hAnsi="黑体"/>
          <w:b w:val="0"/>
        </w:rPr>
        <w:t>4</w:t>
      </w:r>
      <w:r>
        <w:rPr>
          <w:rFonts w:ascii="黑体" w:hAnsi="黑体"/>
          <w:b w:val="0"/>
        </w:rPr>
        <w:t>.</w:t>
      </w:r>
      <w:r>
        <w:rPr>
          <w:rFonts w:hint="eastAsia" w:ascii="黑体" w:hAnsi="黑体"/>
          <w:b w:val="0"/>
        </w:rPr>
        <w:t>报价文件的编制</w:t>
      </w:r>
      <w:bookmarkEnd w:id="131"/>
      <w:bookmarkEnd w:id="132"/>
      <w:bookmarkEnd w:id="133"/>
      <w:bookmarkEnd w:id="134"/>
      <w:bookmarkEnd w:id="135"/>
      <w:bookmarkEnd w:id="136"/>
      <w:bookmarkEnd w:id="137"/>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报价供应商应当按询价文件第</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条的内容与要求和第</w:t>
      </w:r>
      <w:r>
        <w:rPr>
          <w:rFonts w:hint="eastAsia" w:asciiTheme="minorEastAsia" w:hAnsiTheme="minorEastAsia" w:eastAsiaTheme="minorEastAsia"/>
          <w:bCs/>
          <w:sz w:val="28"/>
          <w:szCs w:val="28"/>
          <w:lang w:val="en-US" w:eastAsia="zh-CN"/>
        </w:rPr>
        <w:t>四部分</w:t>
      </w:r>
      <w:r>
        <w:rPr>
          <w:rFonts w:hint="eastAsia" w:asciiTheme="minorEastAsia" w:hAnsiTheme="minorEastAsia" w:eastAsiaTheme="minorEastAsia"/>
          <w:bCs/>
          <w:sz w:val="28"/>
          <w:szCs w:val="28"/>
        </w:rPr>
        <w:t>明确的格式编制报价文件。</w:t>
      </w:r>
      <w:r>
        <w:rPr>
          <w:rFonts w:asciiTheme="minorEastAsia" w:hAnsiTheme="minorEastAsia" w:eastAsiaTheme="minorEastAsia"/>
          <w:bCs/>
          <w:sz w:val="28"/>
          <w:szCs w:val="28"/>
        </w:rPr>
        <w:t xml:space="preserve"> </w:t>
      </w:r>
    </w:p>
    <w:p>
      <w:pPr>
        <w:spacing w:line="560" w:lineRule="exact"/>
        <w:ind w:firstLine="560" w:firstLineChars="200"/>
        <w:rPr>
          <w:rFonts w:ascii="宋体" w:hAnsi="宋体"/>
          <w:sz w:val="28"/>
          <w:szCs w:val="28"/>
        </w:rPr>
      </w:pPr>
      <w:bookmarkStart w:id="138" w:name="_Hlk117788471"/>
      <w:r>
        <w:rPr>
          <w:rFonts w:ascii="宋体" w:hAnsi="宋体"/>
          <w:sz w:val="28"/>
          <w:szCs w:val="28"/>
        </w:rPr>
        <w:t>14.2</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打印，页面不可抽取，不得有活页。商务技术文件和资格证明文件应当</w:t>
      </w:r>
      <w:r>
        <w:rPr>
          <w:rFonts w:ascii="宋体" w:hAnsi="宋体"/>
          <w:sz w:val="28"/>
          <w:szCs w:val="28"/>
        </w:rPr>
        <w:t>胶装成册</w:t>
      </w:r>
      <w:r>
        <w:rPr>
          <w:rFonts w:hint="eastAsia" w:ascii="宋体" w:hAnsi="宋体"/>
          <w:sz w:val="28"/>
          <w:szCs w:val="28"/>
        </w:rPr>
        <w:t>；价格文件纸张在</w:t>
      </w:r>
      <w:r>
        <w:rPr>
          <w:rFonts w:ascii="宋体" w:hAnsi="宋体"/>
          <w:sz w:val="28"/>
          <w:szCs w:val="28"/>
        </w:rPr>
        <w:t>10</w:t>
      </w:r>
      <w:r>
        <w:rPr>
          <w:rFonts w:hint="eastAsia" w:ascii="宋体" w:hAnsi="宋体"/>
          <w:sz w:val="28"/>
          <w:szCs w:val="28"/>
        </w:rPr>
        <w:t>张以上的也应当</w:t>
      </w:r>
      <w:r>
        <w:rPr>
          <w:rFonts w:ascii="宋体" w:hAnsi="宋体"/>
          <w:sz w:val="28"/>
          <w:szCs w:val="28"/>
        </w:rPr>
        <w:t>胶装成册</w:t>
      </w:r>
      <w:r>
        <w:rPr>
          <w:rFonts w:hint="eastAsia" w:ascii="宋体" w:hAnsi="宋体"/>
          <w:sz w:val="28"/>
          <w:szCs w:val="28"/>
        </w:rPr>
        <w:t>，不足</w:t>
      </w:r>
      <w:r>
        <w:rPr>
          <w:rFonts w:ascii="宋体" w:hAnsi="宋体"/>
          <w:sz w:val="28"/>
          <w:szCs w:val="28"/>
        </w:rPr>
        <w:t>10</w:t>
      </w:r>
      <w:r>
        <w:rPr>
          <w:rFonts w:hint="eastAsia" w:ascii="宋体" w:hAnsi="宋体"/>
          <w:sz w:val="28"/>
          <w:szCs w:val="28"/>
        </w:rPr>
        <w:t>张的应当装订</w:t>
      </w:r>
      <w:r>
        <w:rPr>
          <w:rFonts w:hint="eastAsia" w:ascii="宋体" w:hAnsi="宋体"/>
          <w:bCs/>
          <w:sz w:val="28"/>
          <w:szCs w:val="28"/>
          <w:lang w:val="zh-CN"/>
        </w:rPr>
        <w:t>或胶装成册</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14.3</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p>
    <w:p>
      <w:pPr>
        <w:spacing w:line="560" w:lineRule="exact"/>
        <w:ind w:firstLine="560" w:firstLineChars="200"/>
        <w:rPr>
          <w:rFonts w:ascii="宋体" w:hAnsi="宋体"/>
          <w:bCs/>
          <w:sz w:val="28"/>
          <w:szCs w:val="28"/>
          <w:lang w:val="zh-CN"/>
        </w:rPr>
      </w:pPr>
      <w:r>
        <w:rPr>
          <w:rFonts w:ascii="宋体" w:hAnsi="宋体"/>
          <w:sz w:val="28"/>
          <w:szCs w:val="28"/>
        </w:rPr>
        <w:t>14.4</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表格</w:t>
      </w:r>
      <w:r>
        <w:rPr>
          <w:rFonts w:hint="eastAsia" w:ascii="宋体" w:hAnsi="宋体"/>
          <w:sz w:val="28"/>
          <w:szCs w:val="28"/>
        </w:rPr>
        <w:t>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（2）询价文件已经明确物资明细的，应当严格按照明确的物资名称填写各行内容，不得自行增减，调整顺序的不影响报价有效性；未明确物资明细的，自行填写各行内容，应当包含所投所有物资。</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pPr>
        <w:pStyle w:val="3"/>
        <w:spacing w:after="0" w:line="560" w:lineRule="exact"/>
        <w:ind w:firstLine="560" w:firstLineChars="200"/>
        <w:rPr>
          <w:rFonts w:ascii="宋体" w:hAnsi="宋体"/>
          <w:sz w:val="28"/>
          <w:szCs w:val="28"/>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bookmarkEnd w:id="138"/>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.5</w:t>
      </w:r>
      <w:r>
        <w:rPr>
          <w:rFonts w:hint="eastAsia" w:asciiTheme="minorEastAsia" w:hAnsiTheme="minorEastAsia" w:eastAsiaTheme="minorEastAsia"/>
          <w:bCs/>
          <w:sz w:val="28"/>
          <w:szCs w:val="28"/>
        </w:rPr>
        <w:t>报价文件正本应当打印，并按照询价文件规定，应当盖章处加</w:t>
      </w:r>
      <w:r>
        <w:rPr>
          <w:rFonts w:hint="eastAsia" w:ascii="宋体" w:hAnsi="宋体"/>
          <w:bCs/>
          <w:sz w:val="28"/>
          <w:szCs w:val="28"/>
        </w:rPr>
        <w:t>盖报价供应商公章，</w:t>
      </w:r>
      <w:r>
        <w:rPr>
          <w:rFonts w:hint="eastAsia" w:asciiTheme="minorEastAsia" w:hAnsiTheme="minorEastAsia" w:eastAsiaTheme="minorEastAsia"/>
          <w:bCs/>
          <w:sz w:val="28"/>
          <w:szCs w:val="28"/>
        </w:rPr>
        <w:t>应当签字处由报价供应商代表签字。</w:t>
      </w:r>
      <w:r>
        <w:rPr>
          <w:rFonts w:hint="eastAsia" w:ascii="宋体" w:hAnsi="宋体"/>
          <w:bCs/>
          <w:sz w:val="28"/>
          <w:szCs w:val="28"/>
        </w:rPr>
        <w:t>由报价供应商的法定代表人签字的，应当附法定代表人身份证明；报价</w:t>
      </w:r>
      <w:r>
        <w:rPr>
          <w:rFonts w:hint="eastAsia" w:asciiTheme="minorEastAsia" w:hAnsiTheme="minorEastAsia" w:eastAsiaTheme="minor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.6</w:t>
      </w:r>
      <w:r>
        <w:rPr>
          <w:rFonts w:hint="eastAsia" w:ascii="宋体" w:hAnsi="宋体"/>
          <w:bCs/>
          <w:sz w:val="28"/>
          <w:szCs w:val="28"/>
        </w:rPr>
        <w:t>报价</w:t>
      </w:r>
      <w:r>
        <w:rPr>
          <w:rFonts w:hint="eastAsia" w:ascii="宋体" w:hAnsi="宋体"/>
          <w:bCs/>
          <w:sz w:val="28"/>
          <w:szCs w:val="28"/>
          <w:lang w:val="zh-CN"/>
        </w:rPr>
        <w:t>供应商应当提交</w:t>
      </w:r>
      <w:r>
        <w:rPr>
          <w:rFonts w:hint="eastAsia" w:ascii="宋体" w:hAnsi="宋体"/>
          <w:bCs/>
          <w:sz w:val="28"/>
          <w:szCs w:val="28"/>
        </w:rPr>
        <w:t>报价文件正本一份，副本、电子版份数见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。报价文件正本和副本的封面右上角上应当清楚标记“正本”或“副本”字样。当副本和正本不一致或电子版文件与纸质正本文件不一致时，以纸质正本文件为准。</w:t>
      </w:r>
    </w:p>
    <w:p>
      <w:pPr>
        <w:adjustRightInd w:val="0"/>
        <w:snapToGrid w:val="0"/>
        <w:spacing w:line="560" w:lineRule="exact"/>
        <w:ind w:firstLine="560" w:firstLineChars="200"/>
        <w:rPr>
          <w:rFonts w:ascii="宋体" w:hAnsi="宋体"/>
          <w:bCs/>
          <w:sz w:val="28"/>
          <w:szCs w:val="28"/>
          <w:lang w:val="zh-CN"/>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.7</w:t>
      </w:r>
      <w:bookmarkStart w:id="139" w:name="_Hlk150339500"/>
      <w:r>
        <w:rPr>
          <w:rFonts w:hint="eastAsia" w:ascii="宋体" w:hAnsi="宋体"/>
          <w:bCs/>
          <w:sz w:val="28"/>
          <w:szCs w:val="28"/>
          <w:lang w:val="zh-CN"/>
        </w:rPr>
        <w:t>电子版报价文件提交要求：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（1）电子版报价文件必须采用光盘刻录；</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（2）光盘应加贴标签，注明“项目名称、项目编号、包号、报价供应商名称”，每包单独密封；</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lang w:val="zh-CN"/>
        </w:rPr>
        <w:t>（3）电子版报价文件为纸质价格文件、商务技术文件、资格证明文件正本的PDF格式和DOC格式文档，目录与相应内容具有链接索引功能，文件名格式：“第X包-项目名称-报价供应商名称”。</w:t>
      </w:r>
      <w:bookmarkEnd w:id="139"/>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4.8</w:t>
      </w:r>
      <w:r>
        <w:rPr>
          <w:rFonts w:hint="eastAsia" w:asciiTheme="minorEastAsia" w:hAnsiTheme="minorEastAsia" w:eastAsiaTheme="minorEastAsia"/>
          <w:bCs/>
          <w:sz w:val="28"/>
          <w:szCs w:val="28"/>
        </w:rPr>
        <w:t>报价文件正本应当加盖骑缝章</w:t>
      </w:r>
      <w:r>
        <w:rPr>
          <w:rFonts w:hint="eastAsia" w:ascii="宋体" w:hAnsi="宋体"/>
          <w:bCs/>
          <w:sz w:val="28"/>
          <w:szCs w:val="28"/>
          <w:lang w:val="zh-CN"/>
        </w:rPr>
        <w:t>（每页均加盖公章的，可以不盖骑缝章）</w:t>
      </w:r>
      <w:r>
        <w:rPr>
          <w:rFonts w:hint="eastAsia" w:asciiTheme="minorEastAsia" w:hAnsiTheme="minorEastAsia" w:eastAsiaTheme="minorEastAsia"/>
          <w:bCs/>
          <w:sz w:val="28"/>
          <w:szCs w:val="28"/>
        </w:rPr>
        <w:t>，不得随意涂改和增删。如有修改错漏之处，应当由法定代表人或授权代表签字。</w:t>
      </w:r>
    </w:p>
    <w:p>
      <w:pPr>
        <w:pStyle w:val="6"/>
        <w:keepNext w:val="0"/>
        <w:keepLines w:val="0"/>
        <w:adjustRightInd w:val="0"/>
        <w:snapToGrid w:val="0"/>
        <w:spacing w:before="0" w:after="0" w:line="560" w:lineRule="exact"/>
        <w:ind w:firstLine="560"/>
        <w:rPr>
          <w:rFonts w:ascii="黑体" w:hAnsi="黑体"/>
          <w:b w:val="0"/>
        </w:rPr>
      </w:pPr>
      <w:bookmarkStart w:id="140" w:name="_Toc8065"/>
      <w:bookmarkStart w:id="141" w:name="_Toc112879288"/>
      <w:bookmarkStart w:id="142" w:name="_Toc15825"/>
      <w:bookmarkStart w:id="143" w:name="_Toc30332"/>
      <w:bookmarkStart w:id="144" w:name="_Toc17283"/>
      <w:bookmarkStart w:id="145" w:name="_Toc9194"/>
      <w:bookmarkStart w:id="146" w:name="_Toc10747"/>
      <w:r>
        <w:rPr>
          <w:rFonts w:ascii="黑体" w:hAnsi="黑体"/>
          <w:b w:val="0"/>
        </w:rPr>
        <w:t>1</w:t>
      </w:r>
      <w:r>
        <w:rPr>
          <w:rFonts w:hint="eastAsia" w:ascii="黑体" w:hAnsi="黑体"/>
          <w:b w:val="0"/>
        </w:rPr>
        <w:t>5</w:t>
      </w:r>
      <w:r>
        <w:rPr>
          <w:rFonts w:ascii="黑体" w:hAnsi="黑体"/>
          <w:b w:val="0"/>
        </w:rPr>
        <w:t>.</w:t>
      </w:r>
      <w:r>
        <w:rPr>
          <w:rFonts w:hint="eastAsia" w:ascii="黑体" w:hAnsi="黑体"/>
          <w:b w:val="0"/>
        </w:rPr>
        <w:t>报价有效期</w:t>
      </w:r>
      <w:bookmarkEnd w:id="140"/>
      <w:bookmarkEnd w:id="141"/>
      <w:bookmarkEnd w:id="142"/>
      <w:bookmarkEnd w:id="143"/>
      <w:bookmarkEnd w:id="144"/>
      <w:bookmarkEnd w:id="145"/>
      <w:bookmarkEnd w:id="146"/>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.1报价</w:t>
      </w:r>
      <w:r>
        <w:rPr>
          <w:rFonts w:hint="eastAsia" w:ascii="宋体" w:hAnsi="宋体"/>
          <w:bCs/>
          <w:sz w:val="28"/>
          <w:szCs w:val="28"/>
          <w:lang w:val="zh-CN"/>
        </w:rPr>
        <w:t>有效期从提交报价文件的截止之日起算。报价文件中承诺的询价有效期应当不少于【</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须知前附表】中载明的询价有效期，否则视为无效报价。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.2报价有效期需要延长的，采购机构可与</w:t>
      </w:r>
      <w:r>
        <w:rPr>
          <w:rFonts w:hint="eastAsia" w:ascii="宋体" w:hAnsi="宋体"/>
          <w:bCs/>
          <w:sz w:val="28"/>
          <w:szCs w:val="28"/>
          <w:lang w:val="zh-CN"/>
        </w:rPr>
        <w:t>报价</w:t>
      </w:r>
      <w:r>
        <w:rPr>
          <w:rFonts w:ascii="宋体" w:hAnsi="宋体"/>
          <w:bCs/>
          <w:sz w:val="28"/>
          <w:szCs w:val="28"/>
          <w:lang w:val="zh-CN"/>
        </w:rPr>
        <w:t>供应商进行协商，并以书面形式确认，询价保证金有效期相应延长。</w:t>
      </w:r>
      <w:r>
        <w:rPr>
          <w:rFonts w:hint="eastAsia" w:ascii="宋体" w:hAnsi="宋体"/>
          <w:bCs/>
          <w:sz w:val="28"/>
          <w:szCs w:val="28"/>
          <w:lang w:val="zh-CN"/>
        </w:rPr>
        <w:t>报价</w:t>
      </w:r>
      <w:r>
        <w:rPr>
          <w:rFonts w:ascii="宋体" w:hAnsi="宋体"/>
          <w:bCs/>
          <w:sz w:val="28"/>
          <w:szCs w:val="28"/>
          <w:lang w:val="zh-CN"/>
        </w:rPr>
        <w:t>供应商拒绝延长有效期不影响退还询价保证金。同意延长有效期的</w:t>
      </w:r>
      <w:r>
        <w:rPr>
          <w:rFonts w:hint="eastAsia" w:ascii="宋体" w:hAnsi="宋体"/>
          <w:bCs/>
          <w:sz w:val="28"/>
          <w:szCs w:val="28"/>
          <w:lang w:val="zh-CN"/>
        </w:rPr>
        <w:t>报价</w:t>
      </w:r>
      <w:r>
        <w:rPr>
          <w:rFonts w:ascii="宋体" w:hAnsi="宋体"/>
          <w:bCs/>
          <w:sz w:val="28"/>
          <w:szCs w:val="28"/>
          <w:lang w:val="zh-CN"/>
        </w:rPr>
        <w:t>供应商不</w:t>
      </w:r>
      <w:r>
        <w:rPr>
          <w:rFonts w:hint="eastAsia" w:ascii="宋体" w:hAnsi="宋体"/>
          <w:bCs/>
          <w:sz w:val="28"/>
          <w:szCs w:val="28"/>
          <w:lang w:val="zh-CN"/>
        </w:rPr>
        <w:t>得</w:t>
      </w:r>
      <w:r>
        <w:rPr>
          <w:rFonts w:ascii="宋体" w:hAnsi="宋体"/>
          <w:bCs/>
          <w:sz w:val="28"/>
          <w:szCs w:val="28"/>
          <w:lang w:val="zh-CN"/>
        </w:rPr>
        <w:t>修改报价文件。</w:t>
      </w:r>
    </w:p>
    <w:p>
      <w:pPr>
        <w:pStyle w:val="6"/>
        <w:keepNext w:val="0"/>
        <w:keepLines w:val="0"/>
        <w:adjustRightInd w:val="0"/>
        <w:snapToGrid w:val="0"/>
        <w:spacing w:before="0" w:after="0" w:line="560" w:lineRule="exact"/>
        <w:ind w:firstLine="560"/>
        <w:rPr>
          <w:rFonts w:ascii="黑体" w:hAnsi="黑体"/>
          <w:b w:val="0"/>
        </w:rPr>
      </w:pPr>
      <w:bookmarkStart w:id="147" w:name="_Toc2209"/>
      <w:bookmarkStart w:id="148" w:name="_Toc16411"/>
      <w:bookmarkStart w:id="149" w:name="_Toc15765"/>
      <w:bookmarkStart w:id="150" w:name="_Toc14780"/>
      <w:bookmarkStart w:id="151" w:name="_Toc3629"/>
      <w:bookmarkStart w:id="152" w:name="_Toc2919"/>
      <w:bookmarkStart w:id="153" w:name="_Toc112879289"/>
      <w:r>
        <w:rPr>
          <w:rFonts w:ascii="黑体" w:hAnsi="黑体"/>
          <w:b w:val="0"/>
        </w:rPr>
        <w:t>1</w:t>
      </w:r>
      <w:r>
        <w:rPr>
          <w:rFonts w:hint="eastAsia" w:ascii="黑体" w:hAnsi="黑体"/>
          <w:b w:val="0"/>
        </w:rPr>
        <w:t>6</w:t>
      </w:r>
      <w:r>
        <w:rPr>
          <w:rFonts w:ascii="黑体" w:hAnsi="黑体"/>
          <w:b w:val="0"/>
        </w:rPr>
        <w:t>.</w:t>
      </w:r>
      <w:r>
        <w:rPr>
          <w:rFonts w:hint="eastAsia" w:ascii="黑体" w:hAnsi="黑体"/>
          <w:b w:val="0"/>
        </w:rPr>
        <w:t>报价要求</w:t>
      </w:r>
      <w:bookmarkEnd w:id="147"/>
      <w:bookmarkEnd w:id="148"/>
      <w:bookmarkEnd w:id="149"/>
      <w:bookmarkEnd w:id="150"/>
      <w:bookmarkEnd w:id="151"/>
      <w:bookmarkEnd w:id="152"/>
      <w:bookmarkEnd w:id="153"/>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.1所有报价均以人民币为货币单位</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.2所有单价和总价按照</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w:t>
      </w:r>
      <w:r>
        <w:rPr>
          <w:rFonts w:ascii="宋体" w:hAnsi="宋体"/>
          <w:bCs/>
          <w:sz w:val="28"/>
          <w:szCs w:val="28"/>
          <w:lang w:val="zh-CN"/>
        </w:rPr>
        <w:t>格式要求填报。</w:t>
      </w:r>
      <w:r>
        <w:rPr>
          <w:rFonts w:ascii="宋体" w:hAnsi="宋体"/>
          <w:bCs/>
          <w:snapToGrid w:val="0"/>
          <w:sz w:val="28"/>
          <w:szCs w:val="28"/>
          <w:lang w:val="zh-CN"/>
        </w:rPr>
        <w:t>报价应</w:t>
      </w:r>
      <w:r>
        <w:rPr>
          <w:rFonts w:hint="eastAsia" w:ascii="宋体" w:hAnsi="宋体"/>
          <w:bCs/>
          <w:snapToGrid w:val="0"/>
          <w:sz w:val="28"/>
          <w:szCs w:val="28"/>
          <w:lang w:val="zh-CN"/>
        </w:rPr>
        <w:t>当</w:t>
      </w:r>
      <w:r>
        <w:rPr>
          <w:rFonts w:ascii="宋体" w:hAnsi="宋体"/>
          <w:bCs/>
          <w:snapToGrid w:val="0"/>
          <w:sz w:val="28"/>
          <w:szCs w:val="28"/>
          <w:lang w:val="zh-CN"/>
        </w:rPr>
        <w:t>包括货款、标准附件、备品备件、专用工具、包装、安装、调试、培训、保修等费用和税金。</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报价，任何有选择的报价或有附加条件的报价</w:t>
      </w:r>
      <w:r>
        <w:rPr>
          <w:rFonts w:hint="eastAsia" w:ascii="宋体" w:hAnsi="宋体"/>
          <w:bCs/>
          <w:sz w:val="28"/>
          <w:szCs w:val="28"/>
        </w:rPr>
        <w:t>，视为无效报价。</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.4</w:t>
      </w:r>
      <w:r>
        <w:rPr>
          <w:rFonts w:hint="eastAsia" w:ascii="宋体" w:hAnsi="宋体"/>
          <w:bCs/>
          <w:sz w:val="28"/>
          <w:szCs w:val="28"/>
          <w:lang w:val="zh-CN"/>
        </w:rPr>
        <w:t>询价报价的其他要求见【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pStyle w:val="6"/>
        <w:keepNext w:val="0"/>
        <w:keepLines w:val="0"/>
        <w:adjustRightInd w:val="0"/>
        <w:snapToGrid w:val="0"/>
        <w:spacing w:before="0" w:after="0" w:line="560" w:lineRule="exact"/>
        <w:ind w:firstLine="560"/>
        <w:rPr>
          <w:rFonts w:ascii="黑体" w:hAnsi="黑体"/>
          <w:b w:val="0"/>
        </w:rPr>
      </w:pPr>
      <w:bookmarkStart w:id="154" w:name="_Toc19352"/>
      <w:bookmarkStart w:id="155" w:name="_Toc32010"/>
      <w:bookmarkStart w:id="156" w:name="_Toc25759"/>
      <w:bookmarkStart w:id="157" w:name="_Toc28120"/>
      <w:bookmarkStart w:id="158" w:name="_Toc4817"/>
      <w:bookmarkStart w:id="159" w:name="_Toc27672"/>
      <w:bookmarkStart w:id="160" w:name="_Toc112879290"/>
      <w:r>
        <w:rPr>
          <w:rFonts w:ascii="黑体" w:hAnsi="黑体"/>
          <w:b w:val="0"/>
        </w:rPr>
        <w:t>1</w:t>
      </w:r>
      <w:r>
        <w:rPr>
          <w:rFonts w:hint="eastAsia" w:ascii="黑体" w:hAnsi="黑体"/>
          <w:b w:val="0"/>
        </w:rPr>
        <w:t>7</w:t>
      </w:r>
      <w:r>
        <w:rPr>
          <w:rFonts w:ascii="黑体" w:hAnsi="黑体"/>
          <w:b w:val="0"/>
        </w:rPr>
        <w:t>.</w:t>
      </w:r>
      <w:r>
        <w:rPr>
          <w:rFonts w:hint="eastAsia" w:ascii="黑体" w:hAnsi="黑体"/>
          <w:b w:val="0"/>
        </w:rPr>
        <w:t>询价保证金</w:t>
      </w:r>
      <w:bookmarkEnd w:id="154"/>
      <w:bookmarkEnd w:id="155"/>
      <w:bookmarkEnd w:id="156"/>
      <w:bookmarkEnd w:id="157"/>
      <w:bookmarkEnd w:id="158"/>
      <w:bookmarkEnd w:id="159"/>
      <w:bookmarkEnd w:id="160"/>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.1询价</w:t>
      </w:r>
      <w:r>
        <w:rPr>
          <w:rFonts w:hint="eastAsia" w:ascii="宋体" w:hAnsi="宋体"/>
          <w:bCs/>
          <w:sz w:val="28"/>
          <w:szCs w:val="28"/>
          <w:lang w:val="zh-CN"/>
        </w:rPr>
        <w:t>保证金金额、账号及缴纳截止时间见【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w:t>
      </w:r>
      <w:r>
        <w:rPr>
          <w:rFonts w:hint="eastAsia" w:ascii="宋体" w:hAnsi="宋体"/>
          <w:bCs/>
          <w:sz w:val="28"/>
          <w:szCs w:val="28"/>
        </w:rPr>
        <w:t>7</w:t>
      </w:r>
      <w:r>
        <w:rPr>
          <w:rFonts w:ascii="宋体" w:hAnsi="宋体"/>
          <w:bCs/>
          <w:sz w:val="28"/>
          <w:szCs w:val="28"/>
        </w:rPr>
        <w:t>.2询价</w:t>
      </w:r>
      <w:r>
        <w:rPr>
          <w:rFonts w:ascii="宋体" w:hAnsi="宋体"/>
          <w:bCs/>
          <w:sz w:val="28"/>
          <w:szCs w:val="28"/>
          <w:lang w:val="zh-CN"/>
        </w:rPr>
        <w:t>保证金</w:t>
      </w:r>
      <w:r>
        <w:rPr>
          <w:rFonts w:hint="eastAsia" w:ascii="宋体" w:hAnsi="宋体"/>
          <w:bCs/>
          <w:sz w:val="28"/>
          <w:szCs w:val="28"/>
          <w:lang w:val="zh-CN"/>
        </w:rPr>
        <w:t>应当</w:t>
      </w:r>
      <w:r>
        <w:rPr>
          <w:rFonts w:ascii="宋体" w:hAnsi="宋体"/>
          <w:bCs/>
          <w:sz w:val="28"/>
          <w:szCs w:val="28"/>
          <w:lang w:val="zh-CN"/>
        </w:rPr>
        <w:t>采取非现金方式</w:t>
      </w:r>
      <w:r>
        <w:rPr>
          <w:rFonts w:hint="eastAsia" w:ascii="宋体" w:hAnsi="宋体"/>
          <w:bCs/>
          <w:sz w:val="28"/>
          <w:szCs w:val="28"/>
          <w:lang w:val="zh-CN"/>
        </w:rPr>
        <w:t>缴纳。采取汇款方式缴纳的，询价保证金应当从报价供应商的银行账户缴纳且在报价截止时间前到达采购机构账户内，否则视为无效报价；报价供应商在汇款时应当在备注信息中注明本项目的编号及用途（如“项目编号，询价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1份银行保函原件，询价时单独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未按规定缴纳询价保证金的，视为无效报价。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.3</w:t>
      </w:r>
      <w:r>
        <w:rPr>
          <w:rFonts w:ascii="宋体" w:hAnsi="宋体"/>
          <w:bCs/>
          <w:sz w:val="28"/>
          <w:szCs w:val="28"/>
        </w:rPr>
        <w:t>成交供应商的询价保证金，在签订正式合同后5个工作日内全额无息退还。未成交供应商的询价保证金，将在采购机构发出未成交通知书后5个工作日内全额无息退还。</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7</w:t>
      </w:r>
      <w:r>
        <w:rPr>
          <w:rFonts w:ascii="宋体" w:hAnsi="宋体"/>
          <w:bCs/>
          <w:sz w:val="28"/>
          <w:szCs w:val="28"/>
        </w:rPr>
        <w:t>.4有下列情况之一的，询价保证金将不予退还：</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在提交报价文件截止时间</w:t>
      </w:r>
      <w:r>
        <w:rPr>
          <w:rFonts w:ascii="宋体" w:hAnsi="宋体"/>
          <w:bCs/>
          <w:sz w:val="28"/>
          <w:szCs w:val="28"/>
        </w:rPr>
        <w:t>后</w:t>
      </w:r>
      <w:r>
        <w:rPr>
          <w:rFonts w:hint="eastAsia" w:ascii="宋体" w:hAnsi="宋体"/>
          <w:bCs/>
          <w:sz w:val="28"/>
          <w:szCs w:val="28"/>
        </w:rPr>
        <w:t>，</w:t>
      </w:r>
      <w:r>
        <w:rPr>
          <w:rFonts w:ascii="宋体" w:hAnsi="宋体"/>
          <w:bCs/>
          <w:sz w:val="28"/>
          <w:szCs w:val="28"/>
        </w:rPr>
        <w:t>在询价有效期内撤回其报价文件的；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ascii="宋体" w:hAnsi="宋体"/>
          <w:bCs/>
          <w:sz w:val="28"/>
          <w:szCs w:val="28"/>
        </w:rPr>
        <w:t>供应商干扰</w:t>
      </w:r>
      <w:r>
        <w:rPr>
          <w:rFonts w:hint="eastAsia" w:ascii="宋体" w:hAnsi="宋体"/>
          <w:bCs/>
          <w:sz w:val="28"/>
          <w:szCs w:val="28"/>
        </w:rPr>
        <w:t>询价或评审</w:t>
      </w:r>
      <w:r>
        <w:rPr>
          <w:rFonts w:ascii="宋体" w:hAnsi="宋体"/>
          <w:bCs/>
          <w:sz w:val="28"/>
          <w:szCs w:val="28"/>
        </w:rPr>
        <w:t>活动，造成严重影响和后果的；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w:t>
      </w:r>
      <w:r>
        <w:rPr>
          <w:rFonts w:hint="eastAsia" w:ascii="宋体" w:hAnsi="宋体"/>
          <w:bCs/>
          <w:sz w:val="28"/>
          <w:szCs w:val="28"/>
        </w:rPr>
        <w:t>报价或恶意</w:t>
      </w:r>
      <w:r>
        <w:rPr>
          <w:rFonts w:ascii="宋体" w:hAnsi="宋体"/>
          <w:bCs/>
          <w:sz w:val="28"/>
          <w:szCs w:val="28"/>
        </w:rPr>
        <w:t>串通的；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4）成交</w:t>
      </w:r>
      <w:r>
        <w:rPr>
          <w:rFonts w:hint="eastAsia" w:ascii="宋体" w:hAnsi="宋体"/>
          <w:bCs/>
          <w:sz w:val="28"/>
          <w:szCs w:val="28"/>
        </w:rPr>
        <w:t>（预成交）</w:t>
      </w:r>
      <w:r>
        <w:rPr>
          <w:rFonts w:ascii="宋体" w:hAnsi="宋体"/>
          <w:bCs/>
          <w:sz w:val="28"/>
          <w:szCs w:val="28"/>
        </w:rPr>
        <w:t>供应商无正当理由放弃成交的；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成交供应商无正当理由不与采购单位订立合同，在签订合同时向采购单位提出附加条件，或不按照询价文件要求提交履约保证金的</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61" w:name="_Toc112317770"/>
    </w:p>
    <w:p>
      <w:pPr>
        <w:pStyle w:val="5"/>
        <w:keepNext w:val="0"/>
        <w:keepLines w:val="0"/>
        <w:adjustRightInd w:val="0"/>
        <w:snapToGrid w:val="0"/>
        <w:spacing w:before="120" w:beforeLines="50" w:after="120" w:afterLines="50" w:line="560" w:lineRule="exact"/>
        <w:jc w:val="center"/>
        <w:rPr>
          <w:b w:val="0"/>
        </w:rPr>
      </w:pPr>
      <w:bookmarkStart w:id="162" w:name="_Toc10862"/>
      <w:bookmarkStart w:id="163" w:name="_Toc126"/>
      <w:bookmarkStart w:id="164" w:name="_Toc26632"/>
      <w:bookmarkStart w:id="165" w:name="_Toc17312"/>
      <w:bookmarkStart w:id="166" w:name="_Toc132636804"/>
      <w:bookmarkStart w:id="167" w:name="_Toc2916"/>
      <w:bookmarkStart w:id="168" w:name="_Toc31024"/>
      <w:bookmarkStart w:id="169" w:name="_Toc150422528"/>
      <w:bookmarkStart w:id="170" w:name="_Toc150422474"/>
      <w:bookmarkStart w:id="171" w:name="_Toc112879291"/>
      <w:r>
        <w:rPr>
          <w:rFonts w:hint="eastAsia"/>
          <w:b w:val="0"/>
        </w:rPr>
        <w:t>四、报价文件提交</w:t>
      </w:r>
      <w:bookmarkEnd w:id="161"/>
      <w:bookmarkEnd w:id="162"/>
      <w:bookmarkEnd w:id="163"/>
      <w:bookmarkEnd w:id="164"/>
      <w:bookmarkEnd w:id="165"/>
      <w:bookmarkEnd w:id="166"/>
      <w:bookmarkEnd w:id="167"/>
      <w:bookmarkEnd w:id="168"/>
      <w:bookmarkEnd w:id="169"/>
      <w:bookmarkEnd w:id="170"/>
      <w:bookmarkEnd w:id="171"/>
    </w:p>
    <w:p>
      <w:pPr>
        <w:pStyle w:val="6"/>
        <w:keepNext w:val="0"/>
        <w:keepLines w:val="0"/>
        <w:adjustRightInd w:val="0"/>
        <w:snapToGrid w:val="0"/>
        <w:spacing w:before="0" w:after="0" w:line="560" w:lineRule="exact"/>
        <w:ind w:firstLine="560"/>
        <w:rPr>
          <w:rFonts w:ascii="黑体" w:hAnsi="黑体"/>
          <w:b w:val="0"/>
        </w:rPr>
      </w:pPr>
      <w:bookmarkStart w:id="172" w:name="_Toc13583"/>
      <w:bookmarkStart w:id="173" w:name="_Toc112879292"/>
      <w:bookmarkStart w:id="174" w:name="_Toc2147"/>
      <w:bookmarkStart w:id="175" w:name="_Toc25968"/>
      <w:bookmarkStart w:id="176" w:name="_Toc9307"/>
      <w:bookmarkStart w:id="177" w:name="_Toc10463"/>
      <w:bookmarkStart w:id="178" w:name="_Toc3926"/>
      <w:r>
        <w:rPr>
          <w:rFonts w:ascii="黑体" w:hAnsi="黑体"/>
          <w:b w:val="0"/>
        </w:rPr>
        <w:t>1</w:t>
      </w:r>
      <w:r>
        <w:rPr>
          <w:rFonts w:hint="eastAsia" w:ascii="黑体" w:hAnsi="黑体"/>
          <w:b w:val="0"/>
        </w:rPr>
        <w:t>8</w:t>
      </w:r>
      <w:r>
        <w:rPr>
          <w:rFonts w:ascii="黑体" w:hAnsi="黑体"/>
          <w:b w:val="0"/>
        </w:rPr>
        <w:t>.</w:t>
      </w:r>
      <w:r>
        <w:rPr>
          <w:rFonts w:hint="eastAsia" w:ascii="黑体" w:hAnsi="黑体"/>
          <w:b w:val="0"/>
        </w:rPr>
        <w:t>报价文件密封及标记</w:t>
      </w:r>
      <w:bookmarkEnd w:id="172"/>
      <w:bookmarkEnd w:id="173"/>
      <w:bookmarkEnd w:id="174"/>
      <w:bookmarkEnd w:id="175"/>
      <w:bookmarkEnd w:id="176"/>
      <w:bookmarkEnd w:id="177"/>
      <w:bookmarkEnd w:id="17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.1</w:t>
      </w:r>
      <w:r>
        <w:rPr>
          <w:rFonts w:hint="eastAsia" w:ascii="宋体" w:hAnsi="宋体"/>
          <w:bCs/>
          <w:sz w:val="28"/>
          <w:szCs w:val="28"/>
        </w:rPr>
        <w:t>报价文件中“价格文件”应当与“商务技术文件”和“资格证明文件”分开单独密封包装，并在封套的封口处加盖报价供应商公章。</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.2</w:t>
      </w:r>
      <w:r>
        <w:rPr>
          <w:rFonts w:hint="eastAsia" w:ascii="宋体" w:hAnsi="宋体"/>
          <w:bCs/>
          <w:sz w:val="28"/>
          <w:szCs w:val="28"/>
        </w:rPr>
        <w:t>报价文件封套上应当写明</w:t>
      </w:r>
      <w:r>
        <w:rPr>
          <w:rFonts w:ascii="宋体" w:hAnsi="宋体"/>
          <w:bCs/>
          <w:sz w:val="28"/>
          <w:szCs w:val="28"/>
        </w:rPr>
        <w:t>项目名称、项目编号、包号、</w:t>
      </w:r>
      <w:r>
        <w:rPr>
          <w:rFonts w:hint="eastAsia" w:ascii="宋体" w:hAnsi="宋体"/>
          <w:bCs/>
          <w:sz w:val="28"/>
          <w:szCs w:val="28"/>
        </w:rPr>
        <w:t>报价</w:t>
      </w:r>
      <w:r>
        <w:rPr>
          <w:rFonts w:ascii="宋体" w:hAnsi="宋体"/>
          <w:bCs/>
          <w:sz w:val="28"/>
          <w:szCs w:val="28"/>
        </w:rPr>
        <w:t>供应商名称</w:t>
      </w:r>
      <w:r>
        <w:rPr>
          <w:rFonts w:hint="eastAsia" w:ascii="宋体" w:hAnsi="宋体"/>
          <w:bCs/>
          <w:sz w:val="28"/>
          <w:szCs w:val="28"/>
        </w:rPr>
        <w:t>，以及“价格文件”“商务技术文件”或“资格证明文件”</w:t>
      </w:r>
      <w:r>
        <w:rPr>
          <w:rFonts w:ascii="宋体" w:hAnsi="宋体"/>
          <w:bCs/>
          <w:sz w:val="28"/>
          <w:szCs w:val="28"/>
        </w:rPr>
        <w:t>和“</w:t>
      </w:r>
      <w:r>
        <w:rPr>
          <w:rFonts w:hint="eastAsia" w:ascii="宋体" w:hAnsi="宋体"/>
          <w:bCs/>
          <w:sz w:val="28"/>
          <w:szCs w:val="28"/>
        </w:rPr>
        <w:t>询价</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.3</w:t>
      </w:r>
      <w:r>
        <w:rPr>
          <w:rFonts w:hint="eastAsia" w:ascii="宋体" w:hAnsi="宋体"/>
          <w:bCs/>
          <w:sz w:val="28"/>
          <w:szCs w:val="28"/>
        </w:rPr>
        <w:t>报价</w:t>
      </w:r>
      <w:r>
        <w:rPr>
          <w:rFonts w:ascii="宋体" w:hAnsi="宋体"/>
          <w:bCs/>
          <w:sz w:val="28"/>
          <w:szCs w:val="28"/>
        </w:rPr>
        <w:t>供应商应当在</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Theme="minorEastAsia" w:hAnsiTheme="minorEastAsia" w:eastAsiaTheme="minorEastAsia"/>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交报价文件截止时间前，将报价文件送达采购机构指定地点。</w:t>
      </w:r>
      <w:bookmarkStart w:id="179"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的报价文件</w:t>
      </w:r>
      <w:r>
        <w:rPr>
          <w:rFonts w:ascii="宋体" w:hAnsi="宋体"/>
          <w:bCs/>
          <w:sz w:val="28"/>
          <w:szCs w:val="28"/>
        </w:rPr>
        <w:t>，采购机构将拒收</w:t>
      </w:r>
      <w:bookmarkEnd w:id="179"/>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.4电报、电话、电传、邮寄等形式的报价文件概不接</w:t>
      </w:r>
      <w:r>
        <w:rPr>
          <w:rFonts w:hint="eastAsia" w:ascii="宋体" w:hAnsi="宋体"/>
          <w:bCs/>
          <w:sz w:val="28"/>
          <w:szCs w:val="28"/>
        </w:rPr>
        <w:t>收</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.5报价文件未按要求密封、标记的，采购机构将拒收。</w:t>
      </w:r>
    </w:p>
    <w:p>
      <w:pPr>
        <w:pStyle w:val="6"/>
        <w:keepNext w:val="0"/>
        <w:keepLines w:val="0"/>
        <w:adjustRightInd w:val="0"/>
        <w:snapToGrid w:val="0"/>
        <w:spacing w:before="0" w:after="0" w:line="560" w:lineRule="exact"/>
        <w:ind w:firstLine="560"/>
        <w:rPr>
          <w:rFonts w:ascii="黑体" w:hAnsi="黑体"/>
          <w:b w:val="0"/>
        </w:rPr>
      </w:pPr>
      <w:bookmarkStart w:id="180" w:name="_Toc112879293"/>
      <w:bookmarkStart w:id="181" w:name="_Toc29280"/>
      <w:bookmarkStart w:id="182" w:name="_Toc17024"/>
      <w:bookmarkStart w:id="183" w:name="_Toc20179"/>
      <w:bookmarkStart w:id="184" w:name="_Toc1725"/>
      <w:bookmarkStart w:id="185" w:name="_Toc12945"/>
      <w:bookmarkStart w:id="186" w:name="_Toc21109"/>
      <w:r>
        <w:rPr>
          <w:rFonts w:hint="eastAsia" w:ascii="黑体" w:hAnsi="黑体"/>
          <w:b w:val="0"/>
        </w:rPr>
        <w:t>19</w:t>
      </w:r>
      <w:r>
        <w:rPr>
          <w:rFonts w:ascii="黑体" w:hAnsi="黑体"/>
          <w:b w:val="0"/>
        </w:rPr>
        <w:t>.</w:t>
      </w:r>
      <w:r>
        <w:rPr>
          <w:rFonts w:hint="eastAsia" w:ascii="黑体" w:hAnsi="黑体"/>
          <w:b w:val="0"/>
        </w:rPr>
        <w:t>报价文件的修改和撤回</w:t>
      </w:r>
      <w:bookmarkEnd w:id="180"/>
      <w:bookmarkEnd w:id="181"/>
      <w:bookmarkEnd w:id="182"/>
      <w:bookmarkEnd w:id="183"/>
      <w:bookmarkEnd w:id="184"/>
      <w:bookmarkEnd w:id="185"/>
      <w:bookmarkEnd w:id="186"/>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.1</w:t>
      </w:r>
      <w:r>
        <w:rPr>
          <w:rFonts w:hint="eastAsia" w:ascii="宋体" w:hAnsi="宋体"/>
          <w:bCs/>
          <w:sz w:val="28"/>
          <w:szCs w:val="28"/>
          <w:lang w:val="zh-CN"/>
        </w:rPr>
        <w:t>报价</w:t>
      </w:r>
      <w:r>
        <w:rPr>
          <w:rFonts w:ascii="宋体" w:hAnsi="宋体"/>
          <w:bCs/>
          <w:sz w:val="28"/>
          <w:szCs w:val="28"/>
          <w:lang w:val="zh-CN"/>
        </w:rPr>
        <w:t>供应商在</w:t>
      </w:r>
      <w:r>
        <w:rPr>
          <w:rFonts w:hint="eastAsia" w:ascii="宋体" w:hAnsi="宋体"/>
          <w:bCs/>
          <w:sz w:val="28"/>
          <w:szCs w:val="28"/>
        </w:rPr>
        <w:t>提</w:t>
      </w:r>
      <w:r>
        <w:rPr>
          <w:rFonts w:ascii="宋体" w:hAnsi="宋体"/>
          <w:bCs/>
          <w:sz w:val="28"/>
          <w:szCs w:val="28"/>
        </w:rPr>
        <w:t>交报价文件截止时间</w:t>
      </w:r>
      <w:r>
        <w:rPr>
          <w:rFonts w:ascii="宋体" w:hAnsi="宋体"/>
          <w:bCs/>
          <w:sz w:val="28"/>
          <w:szCs w:val="28"/>
          <w:lang w:val="zh-CN"/>
        </w:rPr>
        <w:t>前，可以对提交的报价文件进行补充、修改或撤回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采购机构，并按照询价文件要求</w:t>
      </w:r>
      <w:r>
        <w:rPr>
          <w:rFonts w:hint="eastAsia" w:ascii="宋体" w:hAnsi="宋体"/>
          <w:bCs/>
          <w:sz w:val="28"/>
          <w:szCs w:val="28"/>
          <w:lang w:val="zh-CN"/>
        </w:rPr>
        <w:t>签字、</w:t>
      </w:r>
      <w:r>
        <w:rPr>
          <w:rFonts w:ascii="宋体" w:hAnsi="宋体"/>
          <w:bCs/>
          <w:sz w:val="28"/>
          <w:szCs w:val="28"/>
          <w:lang w:val="zh-CN"/>
        </w:rPr>
        <w:t>盖章，作为报价文件的组成部分。</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.2</w:t>
      </w:r>
      <w:r>
        <w:rPr>
          <w:rFonts w:hint="eastAsia" w:ascii="宋体" w:hAnsi="宋体"/>
          <w:bCs/>
          <w:sz w:val="28"/>
          <w:szCs w:val="28"/>
        </w:rPr>
        <w:t>报价截止时间后，</w:t>
      </w:r>
      <w:r>
        <w:rPr>
          <w:rFonts w:ascii="宋体" w:hAnsi="宋体"/>
          <w:bCs/>
          <w:sz w:val="28"/>
          <w:szCs w:val="28"/>
          <w:lang w:val="zh-CN"/>
        </w:rPr>
        <w:t>采购机构不接受对</w:t>
      </w:r>
      <w:r>
        <w:rPr>
          <w:rFonts w:hint="eastAsia" w:ascii="宋体" w:hAnsi="宋体"/>
          <w:bCs/>
          <w:sz w:val="28"/>
          <w:szCs w:val="28"/>
        </w:rPr>
        <w:t>报价文件</w:t>
      </w:r>
      <w:r>
        <w:rPr>
          <w:rFonts w:ascii="宋体" w:hAnsi="宋体"/>
          <w:bCs/>
          <w:sz w:val="28"/>
          <w:szCs w:val="28"/>
          <w:lang w:val="zh-CN"/>
        </w:rPr>
        <w:t>内容的实质性修改</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19</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供应商修改报价文件的书面材料，</w:t>
      </w:r>
      <w:r>
        <w:rPr>
          <w:rFonts w:hint="eastAsia" w:ascii="宋体" w:hAnsi="宋体"/>
          <w:bCs/>
          <w:sz w:val="28"/>
          <w:szCs w:val="28"/>
        </w:rPr>
        <w:t>应当</w:t>
      </w:r>
      <w:r>
        <w:rPr>
          <w:rFonts w:ascii="宋体" w:hAnsi="宋体"/>
          <w:bCs/>
          <w:sz w:val="28"/>
          <w:szCs w:val="28"/>
        </w:rPr>
        <w:t>密封送达询价地点，并在封面上标明项目名称、项目编号、</w:t>
      </w:r>
      <w:r>
        <w:rPr>
          <w:rFonts w:hint="eastAsia" w:ascii="宋体" w:hAnsi="宋体"/>
          <w:bCs/>
          <w:sz w:val="28"/>
          <w:szCs w:val="28"/>
        </w:rPr>
        <w:t>报价</w:t>
      </w:r>
      <w:r>
        <w:rPr>
          <w:rFonts w:ascii="宋体" w:hAnsi="宋体"/>
          <w:bCs/>
          <w:sz w:val="28"/>
          <w:szCs w:val="28"/>
        </w:rPr>
        <w:t>供应商名称和</w:t>
      </w:r>
      <w:r>
        <w:rPr>
          <w:rFonts w:hint="eastAsia" w:ascii="宋体" w:hAnsi="宋体"/>
          <w:bCs/>
          <w:sz w:val="28"/>
          <w:szCs w:val="28"/>
        </w:rPr>
        <w:t>“</w:t>
      </w:r>
      <w:r>
        <w:rPr>
          <w:rFonts w:ascii="宋体" w:hAnsi="宋体"/>
          <w:bCs/>
          <w:sz w:val="28"/>
          <w:szCs w:val="28"/>
        </w:rPr>
        <w:t>询价修改文件</w:t>
      </w:r>
      <w:r>
        <w:rPr>
          <w:rFonts w:hint="eastAsia" w:ascii="宋体" w:hAnsi="宋体"/>
          <w:bCs/>
          <w:sz w:val="28"/>
          <w:szCs w:val="28"/>
        </w:rPr>
        <w:t>”</w:t>
      </w:r>
      <w:r>
        <w:rPr>
          <w:rFonts w:ascii="宋体" w:hAnsi="宋体"/>
          <w:bCs/>
          <w:sz w:val="28"/>
          <w:szCs w:val="28"/>
        </w:rPr>
        <w:t>“</w:t>
      </w:r>
      <w:r>
        <w:rPr>
          <w:rFonts w:hint="eastAsia" w:ascii="宋体" w:hAnsi="宋体"/>
          <w:bCs/>
          <w:sz w:val="28"/>
          <w:szCs w:val="28"/>
        </w:rPr>
        <w:t>报价文件</w:t>
      </w:r>
      <w:r>
        <w:rPr>
          <w:rFonts w:ascii="宋体" w:hAnsi="宋体"/>
          <w:bCs/>
          <w:sz w:val="28"/>
          <w:szCs w:val="28"/>
        </w:rPr>
        <w:t>开</w:t>
      </w:r>
      <w:r>
        <w:rPr>
          <w:rFonts w:hint="eastAsia" w:ascii="宋体" w:hAnsi="宋体"/>
          <w:bCs/>
          <w:sz w:val="28"/>
          <w:szCs w:val="28"/>
        </w:rPr>
        <w:t>启</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.4</w:t>
      </w:r>
      <w:r>
        <w:rPr>
          <w:rFonts w:hint="eastAsia" w:ascii="宋体" w:hAnsi="宋体"/>
          <w:bCs/>
          <w:sz w:val="28"/>
          <w:szCs w:val="28"/>
        </w:rPr>
        <w:t>报价</w:t>
      </w:r>
      <w:r>
        <w:rPr>
          <w:rFonts w:ascii="宋体" w:hAnsi="宋体"/>
          <w:bCs/>
          <w:sz w:val="28"/>
          <w:szCs w:val="28"/>
        </w:rPr>
        <w:t>供应商撤回</w:t>
      </w:r>
      <w:r>
        <w:rPr>
          <w:rFonts w:hint="eastAsia" w:ascii="宋体" w:hAnsi="宋体"/>
          <w:bCs/>
          <w:sz w:val="28"/>
          <w:szCs w:val="28"/>
        </w:rPr>
        <w:t>报价文件</w:t>
      </w:r>
      <w:r>
        <w:rPr>
          <w:rFonts w:ascii="宋体" w:hAnsi="宋体"/>
          <w:bCs/>
          <w:sz w:val="28"/>
          <w:szCs w:val="28"/>
        </w:rPr>
        <w:t>应当以书面形式通知采购机构。采取电报或传真形式撤回</w:t>
      </w:r>
      <w:r>
        <w:rPr>
          <w:rFonts w:hint="eastAsia" w:ascii="宋体" w:hAnsi="宋体"/>
          <w:bCs/>
          <w:sz w:val="28"/>
          <w:szCs w:val="28"/>
        </w:rPr>
        <w:t>报价文件</w:t>
      </w:r>
      <w:r>
        <w:rPr>
          <w:rFonts w:ascii="宋体" w:hAnsi="宋体"/>
          <w:bCs/>
          <w:sz w:val="28"/>
          <w:szCs w:val="28"/>
        </w:rPr>
        <w:t>的，</w:t>
      </w:r>
      <w:r>
        <w:rPr>
          <w:rFonts w:hint="eastAsia" w:ascii="宋体" w:hAnsi="宋体"/>
          <w:bCs/>
          <w:sz w:val="28"/>
          <w:szCs w:val="28"/>
        </w:rPr>
        <w:t>应当</w:t>
      </w:r>
      <w:r>
        <w:rPr>
          <w:rFonts w:ascii="宋体" w:hAnsi="宋体"/>
          <w:bCs/>
          <w:sz w:val="28"/>
          <w:szCs w:val="28"/>
        </w:rPr>
        <w:t>补充法定代表人或授权代表</w:t>
      </w:r>
      <w:r>
        <w:rPr>
          <w:rFonts w:hint="eastAsia" w:ascii="宋体" w:hAnsi="宋体"/>
          <w:bCs/>
          <w:sz w:val="28"/>
          <w:szCs w:val="28"/>
        </w:rPr>
        <w:t>签字</w:t>
      </w:r>
      <w:r>
        <w:rPr>
          <w:rFonts w:ascii="宋体" w:hAnsi="宋体"/>
          <w:bCs/>
          <w:sz w:val="28"/>
          <w:szCs w:val="28"/>
        </w:rPr>
        <w:t>的撤回</w:t>
      </w:r>
      <w:r>
        <w:rPr>
          <w:rFonts w:hint="eastAsia" w:ascii="宋体" w:hAnsi="宋体"/>
          <w:bCs/>
          <w:sz w:val="28"/>
          <w:szCs w:val="28"/>
        </w:rPr>
        <w:t>报价文件</w:t>
      </w:r>
      <w:r>
        <w:rPr>
          <w:rFonts w:ascii="宋体" w:hAnsi="宋体"/>
          <w:bCs/>
          <w:sz w:val="28"/>
          <w:szCs w:val="28"/>
        </w:rPr>
        <w:t>的正式文件。撤回</w:t>
      </w:r>
      <w:r>
        <w:rPr>
          <w:rFonts w:hint="eastAsia" w:ascii="宋体" w:hAnsi="宋体"/>
          <w:bCs/>
          <w:sz w:val="28"/>
          <w:szCs w:val="28"/>
        </w:rPr>
        <w:t>报价文件</w:t>
      </w:r>
      <w:r>
        <w:rPr>
          <w:rFonts w:ascii="宋体" w:hAnsi="宋体"/>
          <w:bCs/>
          <w:sz w:val="28"/>
          <w:szCs w:val="28"/>
        </w:rPr>
        <w:t>的时间以</w:t>
      </w:r>
      <w:r>
        <w:rPr>
          <w:rFonts w:hint="eastAsia" w:ascii="宋体" w:hAnsi="宋体"/>
          <w:bCs/>
          <w:sz w:val="28"/>
          <w:szCs w:val="28"/>
        </w:rPr>
        <w:t>报价</w:t>
      </w:r>
      <w:r>
        <w:rPr>
          <w:rFonts w:ascii="宋体" w:hAnsi="宋体"/>
          <w:bCs/>
          <w:sz w:val="28"/>
          <w:szCs w:val="28"/>
        </w:rPr>
        <w:t>供应商的书面撤回通知送达采购机构时间为准。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.5</w:t>
      </w:r>
      <w:r>
        <w:rPr>
          <w:rFonts w:hint="eastAsia" w:ascii="宋体" w:hAnsi="宋体"/>
          <w:bCs/>
          <w:sz w:val="28"/>
          <w:szCs w:val="28"/>
        </w:rPr>
        <w:t>提</w:t>
      </w:r>
      <w:r>
        <w:rPr>
          <w:rFonts w:ascii="宋体" w:hAnsi="宋体"/>
          <w:bCs/>
          <w:sz w:val="28"/>
          <w:szCs w:val="28"/>
        </w:rPr>
        <w:t>交报价文件截止时间后，</w:t>
      </w:r>
      <w:r>
        <w:rPr>
          <w:rFonts w:hint="eastAsia" w:ascii="宋体" w:hAnsi="宋体"/>
          <w:bCs/>
          <w:sz w:val="28"/>
          <w:szCs w:val="28"/>
        </w:rPr>
        <w:t>报价</w:t>
      </w:r>
      <w:r>
        <w:rPr>
          <w:rFonts w:ascii="宋体" w:hAnsi="宋体"/>
          <w:bCs/>
          <w:sz w:val="28"/>
          <w:szCs w:val="28"/>
        </w:rPr>
        <w:t>供应商不得撤回</w:t>
      </w:r>
      <w:r>
        <w:rPr>
          <w:rFonts w:hint="eastAsia" w:ascii="宋体" w:hAnsi="宋体"/>
          <w:bCs/>
          <w:sz w:val="28"/>
          <w:szCs w:val="28"/>
        </w:rPr>
        <w:t>报价文件</w:t>
      </w:r>
      <w:r>
        <w:rPr>
          <w:rFonts w:ascii="宋体" w:hAnsi="宋体"/>
          <w:bCs/>
          <w:sz w:val="28"/>
          <w:szCs w:val="28"/>
        </w:rPr>
        <w:t>，否则询价保证金不予退还。</w:t>
      </w:r>
      <w:bookmarkStart w:id="187" w:name="_Toc112317771"/>
    </w:p>
    <w:p>
      <w:pPr>
        <w:pStyle w:val="5"/>
        <w:keepNext w:val="0"/>
        <w:keepLines w:val="0"/>
        <w:adjustRightInd w:val="0"/>
        <w:snapToGrid w:val="0"/>
        <w:spacing w:before="120" w:beforeLines="50" w:after="120" w:afterLines="50" w:line="560" w:lineRule="exact"/>
        <w:jc w:val="center"/>
        <w:rPr>
          <w:b w:val="0"/>
        </w:rPr>
      </w:pPr>
      <w:bookmarkStart w:id="188" w:name="_Toc22461"/>
      <w:bookmarkStart w:id="189" w:name="_Toc18788"/>
      <w:bookmarkStart w:id="190" w:name="_Toc150422529"/>
      <w:bookmarkStart w:id="191" w:name="_Toc27124"/>
      <w:bookmarkStart w:id="192" w:name="_Toc18297"/>
      <w:bookmarkStart w:id="193" w:name="_Toc32244"/>
      <w:bookmarkStart w:id="194" w:name="_Toc150422475"/>
      <w:bookmarkStart w:id="195" w:name="_Toc31708"/>
      <w:bookmarkStart w:id="196" w:name="_Toc112879294"/>
      <w:bookmarkStart w:id="197" w:name="_Toc132636805"/>
      <w:r>
        <w:rPr>
          <w:rFonts w:hint="eastAsia"/>
          <w:b w:val="0"/>
        </w:rPr>
        <w:t>五、</w:t>
      </w:r>
      <w:bookmarkEnd w:id="187"/>
      <w:r>
        <w:rPr>
          <w:rFonts w:hint="eastAsia"/>
          <w:b w:val="0"/>
        </w:rPr>
        <w:t>询价与评审</w:t>
      </w:r>
      <w:bookmarkEnd w:id="188"/>
      <w:bookmarkEnd w:id="189"/>
      <w:bookmarkEnd w:id="190"/>
      <w:bookmarkEnd w:id="191"/>
      <w:bookmarkEnd w:id="192"/>
      <w:bookmarkEnd w:id="193"/>
      <w:bookmarkEnd w:id="194"/>
      <w:bookmarkEnd w:id="195"/>
      <w:bookmarkEnd w:id="196"/>
      <w:bookmarkEnd w:id="197"/>
    </w:p>
    <w:p>
      <w:pPr>
        <w:pStyle w:val="6"/>
        <w:keepNext w:val="0"/>
        <w:keepLines w:val="0"/>
        <w:adjustRightInd w:val="0"/>
        <w:snapToGrid w:val="0"/>
        <w:spacing w:before="0" w:after="0" w:line="560" w:lineRule="exact"/>
        <w:ind w:firstLine="560"/>
        <w:rPr>
          <w:rFonts w:ascii="黑体" w:hAnsi="黑体"/>
          <w:b w:val="0"/>
        </w:rPr>
      </w:pPr>
      <w:bookmarkStart w:id="198" w:name="_Toc10939"/>
      <w:bookmarkStart w:id="199" w:name="_Toc12850"/>
      <w:bookmarkStart w:id="200" w:name="_Toc20455"/>
      <w:bookmarkStart w:id="201" w:name="_Toc112879295"/>
      <w:bookmarkStart w:id="202" w:name="_Toc20654"/>
      <w:bookmarkStart w:id="203" w:name="_Toc28583"/>
      <w:bookmarkStart w:id="204" w:name="_Toc14023"/>
      <w:r>
        <w:rPr>
          <w:rFonts w:ascii="黑体" w:hAnsi="黑体"/>
          <w:b w:val="0"/>
        </w:rPr>
        <w:t>2</w:t>
      </w:r>
      <w:r>
        <w:rPr>
          <w:rFonts w:hint="eastAsia" w:ascii="黑体" w:hAnsi="黑体"/>
          <w:b w:val="0"/>
        </w:rPr>
        <w:t>0</w:t>
      </w:r>
      <w:r>
        <w:rPr>
          <w:rFonts w:ascii="黑体" w:hAnsi="黑体"/>
          <w:b w:val="0"/>
        </w:rPr>
        <w:t>.</w:t>
      </w:r>
      <w:r>
        <w:rPr>
          <w:rFonts w:hint="eastAsia" w:ascii="黑体" w:hAnsi="黑体"/>
          <w:b w:val="0"/>
        </w:rPr>
        <w:t>报价文件开启</w:t>
      </w:r>
      <w:bookmarkEnd w:id="198"/>
      <w:bookmarkEnd w:id="199"/>
      <w:bookmarkEnd w:id="200"/>
      <w:bookmarkEnd w:id="201"/>
      <w:bookmarkEnd w:id="202"/>
      <w:bookmarkEnd w:id="203"/>
      <w:bookmarkEnd w:id="204"/>
    </w:p>
    <w:p>
      <w:pPr>
        <w:spacing w:line="560" w:lineRule="exact"/>
        <w:ind w:firstLine="560" w:firstLineChars="200"/>
        <w:rPr>
          <w:rFonts w:ascii="宋体" w:hAnsi="宋体"/>
          <w:bCs/>
          <w:sz w:val="28"/>
          <w:szCs w:val="28"/>
        </w:rPr>
      </w:pPr>
      <w:r>
        <w:rPr>
          <w:rFonts w:ascii="宋体" w:hAnsi="宋体" w:cs="宋体"/>
          <w:bCs/>
          <w:snapToGrid w:val="0"/>
          <w:sz w:val="28"/>
          <w:szCs w:val="28"/>
          <w:lang w:val="zh-CN"/>
        </w:rPr>
        <w:t>2</w:t>
      </w:r>
      <w:r>
        <w:rPr>
          <w:rFonts w:hint="eastAsia" w:ascii="宋体" w:hAnsi="宋体" w:cs="宋体"/>
          <w:bCs/>
          <w:snapToGrid w:val="0"/>
          <w:sz w:val="28"/>
          <w:szCs w:val="28"/>
          <w:lang w:val="zh-CN"/>
        </w:rPr>
        <w:t>0</w:t>
      </w:r>
      <w:r>
        <w:rPr>
          <w:rFonts w:ascii="宋体" w:hAnsi="宋体" w:cs="宋体"/>
          <w:bCs/>
          <w:snapToGrid w:val="0"/>
          <w:sz w:val="28"/>
          <w:szCs w:val="28"/>
          <w:lang w:val="zh-CN"/>
        </w:rPr>
        <w:t>.1</w:t>
      </w:r>
      <w:r>
        <w:rPr>
          <w:rFonts w:hint="eastAsia" w:ascii="宋体" w:hAnsi="宋体"/>
          <w:bCs/>
          <w:sz w:val="28"/>
          <w:szCs w:val="28"/>
        </w:rPr>
        <w:t>成功提交报价文件的报价供应商不足</w:t>
      </w:r>
      <w:r>
        <w:rPr>
          <w:rFonts w:ascii="宋体" w:hAnsi="宋体"/>
          <w:bCs/>
          <w:sz w:val="28"/>
          <w:szCs w:val="28"/>
        </w:rPr>
        <w:t>3家的，</w:t>
      </w:r>
      <w:r>
        <w:rPr>
          <w:rFonts w:hint="eastAsia" w:ascii="宋体" w:hAnsi="宋体"/>
          <w:bCs/>
          <w:sz w:val="28"/>
          <w:szCs w:val="28"/>
        </w:rPr>
        <w:t>一般不得组织询价，满足第</w:t>
      </w:r>
      <w:r>
        <w:rPr>
          <w:rFonts w:ascii="宋体" w:hAnsi="宋体"/>
          <w:bCs/>
          <w:sz w:val="28"/>
          <w:szCs w:val="28"/>
        </w:rPr>
        <w:t>39.1</w:t>
      </w:r>
      <w:r>
        <w:rPr>
          <w:rFonts w:hint="eastAsia" w:ascii="宋体" w:hAnsi="宋体"/>
          <w:bCs/>
          <w:sz w:val="28"/>
          <w:szCs w:val="28"/>
        </w:rPr>
        <w:t>条情形的除外。</w:t>
      </w:r>
      <w:r>
        <w:rPr>
          <w:rFonts w:hint="eastAsia" w:ascii="宋体" w:hAnsi="宋体" w:cs="宋体"/>
          <w:bCs/>
          <w:snapToGrid w:val="0"/>
          <w:sz w:val="28"/>
          <w:szCs w:val="28"/>
        </w:rPr>
        <w:t>报价</w:t>
      </w:r>
      <w:r>
        <w:rPr>
          <w:rFonts w:hint="eastAsia" w:ascii="宋体" w:hAnsi="宋体" w:cs="宋体"/>
          <w:bCs/>
          <w:snapToGrid w:val="0"/>
          <w:sz w:val="28"/>
          <w:szCs w:val="28"/>
          <w:lang w:val="zh-CN"/>
        </w:rPr>
        <w:t>文件开启时间及地点见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cs="宋体"/>
          <w:bCs/>
          <w:snapToGrid w:val="0"/>
          <w:sz w:val="28"/>
          <w:szCs w:val="28"/>
          <w:lang w:val="zh-CN"/>
        </w:rPr>
        <w:t>。</w:t>
      </w:r>
    </w:p>
    <w:p>
      <w:pPr>
        <w:pStyle w:val="6"/>
        <w:keepNext w:val="0"/>
        <w:keepLines w:val="0"/>
        <w:adjustRightInd w:val="0"/>
        <w:snapToGrid w:val="0"/>
        <w:spacing w:before="0" w:after="0" w:line="560" w:lineRule="exact"/>
        <w:ind w:firstLine="560"/>
        <w:rPr>
          <w:rFonts w:ascii="黑体" w:hAnsi="黑体"/>
          <w:b w:val="0"/>
        </w:rPr>
      </w:pPr>
      <w:bookmarkStart w:id="205" w:name="_Toc6265"/>
      <w:bookmarkStart w:id="206" w:name="_Toc112879296"/>
      <w:bookmarkStart w:id="207" w:name="_Toc5250"/>
      <w:bookmarkStart w:id="208" w:name="_Toc14037"/>
      <w:bookmarkStart w:id="209" w:name="_Toc23132"/>
      <w:bookmarkStart w:id="210" w:name="_Toc21738"/>
      <w:bookmarkStart w:id="211" w:name="_Toc24558"/>
      <w:r>
        <w:rPr>
          <w:rFonts w:ascii="黑体" w:hAnsi="黑体"/>
          <w:b w:val="0"/>
        </w:rPr>
        <w:t>2</w:t>
      </w:r>
      <w:r>
        <w:rPr>
          <w:rFonts w:hint="eastAsia" w:ascii="黑体" w:hAnsi="黑体"/>
          <w:b w:val="0"/>
        </w:rPr>
        <w:t>1</w:t>
      </w:r>
      <w:r>
        <w:rPr>
          <w:rFonts w:ascii="黑体" w:hAnsi="黑体"/>
          <w:b w:val="0"/>
        </w:rPr>
        <w:t>.</w:t>
      </w:r>
      <w:r>
        <w:rPr>
          <w:rFonts w:hint="eastAsia" w:ascii="黑体" w:hAnsi="黑体"/>
          <w:b w:val="0"/>
        </w:rPr>
        <w:t>评审原则及方法</w:t>
      </w:r>
      <w:bookmarkEnd w:id="205"/>
      <w:bookmarkEnd w:id="206"/>
      <w:bookmarkEnd w:id="207"/>
      <w:bookmarkEnd w:id="208"/>
      <w:bookmarkEnd w:id="209"/>
      <w:bookmarkEnd w:id="210"/>
      <w:bookmarkEnd w:id="211"/>
    </w:p>
    <w:p>
      <w:pPr>
        <w:adjustRightInd w:val="0"/>
        <w:snapToGrid w:val="0"/>
        <w:spacing w:line="560" w:lineRule="exact"/>
        <w:ind w:firstLine="560" w:firstLineChars="200"/>
        <w:rPr>
          <w:rFonts w:ascii="宋体" w:hAnsi="宋体"/>
          <w:bCs/>
          <w:sz w:val="28"/>
          <w:szCs w:val="28"/>
        </w:rPr>
      </w:pPr>
      <w:bookmarkStart w:id="212" w:name="_Toc8523"/>
      <w:r>
        <w:rPr>
          <w:rFonts w:ascii="宋体" w:hAnsi="宋体"/>
          <w:bCs/>
          <w:sz w:val="28"/>
          <w:szCs w:val="28"/>
        </w:rPr>
        <w:t>2</w:t>
      </w:r>
      <w:r>
        <w:rPr>
          <w:rFonts w:hint="eastAsia" w:ascii="宋体" w:hAnsi="宋体"/>
          <w:bCs/>
          <w:sz w:val="28"/>
          <w:szCs w:val="28"/>
        </w:rPr>
        <w:t>1</w:t>
      </w:r>
      <w:r>
        <w:rPr>
          <w:rFonts w:ascii="宋体" w:hAnsi="宋体"/>
          <w:bCs/>
          <w:sz w:val="28"/>
          <w:szCs w:val="28"/>
        </w:rPr>
        <w:t>.1</w:t>
      </w:r>
      <w:bookmarkEnd w:id="212"/>
      <w:r>
        <w:rPr>
          <w:rFonts w:hint="eastAsia" w:ascii="宋体" w:hAnsi="宋体"/>
          <w:bCs/>
          <w:sz w:val="28"/>
          <w:szCs w:val="28"/>
        </w:rPr>
        <w:t>评审</w:t>
      </w:r>
      <w:r>
        <w:rPr>
          <w:rFonts w:ascii="宋体" w:hAnsi="宋体"/>
          <w:bCs/>
          <w:sz w:val="28"/>
          <w:szCs w:val="28"/>
        </w:rPr>
        <w:t>原则</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）严格依据询价文件规定的评审方法、程序和标准评审。不得以投票表决等形式修改询价文件规定的评审方法、程序和标准；询价文件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3）对所有</w:t>
      </w:r>
      <w:r>
        <w:rPr>
          <w:rFonts w:hint="eastAsia" w:ascii="宋体" w:hAnsi="宋体"/>
          <w:bCs/>
          <w:sz w:val="28"/>
          <w:szCs w:val="28"/>
        </w:rPr>
        <w:t>报价文件的评审依据和评审尺度保持一致。</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对询价文件和报价文件的解释澄清，在不改变文件原义的前提下，应当以有利于报价供应商为原则。</w:t>
      </w:r>
    </w:p>
    <w:p>
      <w:pPr>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1</w:t>
      </w:r>
      <w:r>
        <w:rPr>
          <w:rFonts w:ascii="宋体" w:hAnsi="宋体"/>
          <w:bCs/>
          <w:sz w:val="28"/>
          <w:szCs w:val="28"/>
        </w:rPr>
        <w:t>.2</w:t>
      </w:r>
      <w:r>
        <w:rPr>
          <w:rFonts w:hint="eastAsia" w:ascii="宋体" w:hAnsi="宋体"/>
          <w:bCs/>
          <w:sz w:val="28"/>
          <w:szCs w:val="28"/>
        </w:rPr>
        <w:t>评审方法：经评审的最低价法，是指报价文件满足询价文件资格性和符合性要求，将报价最低的报价供应商，作为预成交供应商的评审方法。</w:t>
      </w:r>
    </w:p>
    <w:p>
      <w:pPr>
        <w:pStyle w:val="6"/>
        <w:keepNext w:val="0"/>
        <w:keepLines w:val="0"/>
        <w:adjustRightInd w:val="0"/>
        <w:snapToGrid w:val="0"/>
        <w:spacing w:before="0" w:after="0" w:line="560" w:lineRule="exact"/>
        <w:ind w:firstLine="560"/>
        <w:rPr>
          <w:rFonts w:ascii="黑体" w:hAnsi="黑体"/>
          <w:b w:val="0"/>
        </w:rPr>
      </w:pPr>
      <w:bookmarkStart w:id="213" w:name="_Toc27418"/>
      <w:bookmarkStart w:id="214" w:name="_Toc6108"/>
      <w:bookmarkStart w:id="215" w:name="_Toc112768406"/>
      <w:bookmarkStart w:id="216" w:name="_Toc26796"/>
      <w:bookmarkStart w:id="217" w:name="_Toc31420"/>
      <w:bookmarkStart w:id="218" w:name="_Toc5111"/>
      <w:bookmarkStart w:id="219" w:name="_Toc112879297"/>
      <w:bookmarkStart w:id="220" w:name="_Toc25000"/>
      <w:r>
        <w:rPr>
          <w:rFonts w:ascii="黑体" w:hAnsi="黑体"/>
          <w:b w:val="0"/>
        </w:rPr>
        <w:t>2</w:t>
      </w:r>
      <w:r>
        <w:rPr>
          <w:rFonts w:hint="eastAsia" w:ascii="黑体" w:hAnsi="黑体"/>
          <w:b w:val="0"/>
        </w:rPr>
        <w:t>2.评审标准</w:t>
      </w:r>
      <w:bookmarkEnd w:id="213"/>
      <w:bookmarkEnd w:id="214"/>
      <w:bookmarkEnd w:id="215"/>
      <w:bookmarkEnd w:id="216"/>
      <w:bookmarkEnd w:id="217"/>
      <w:bookmarkEnd w:id="218"/>
      <w:bookmarkEnd w:id="219"/>
      <w:bookmarkEnd w:id="220"/>
    </w:p>
    <w:p>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.1</w:t>
      </w:r>
      <w:r>
        <w:rPr>
          <w:rFonts w:hint="eastAsia" w:ascii="宋体" w:hAnsi="宋体"/>
          <w:bCs/>
          <w:sz w:val="28"/>
          <w:szCs w:val="28"/>
        </w:rPr>
        <w:t>资格性审查标准，见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.2</w:t>
      </w:r>
      <w:bookmarkStart w:id="221" w:name="_Hlk112422244"/>
      <w:r>
        <w:rPr>
          <w:rFonts w:hint="eastAsia" w:ascii="宋体" w:hAnsi="宋体"/>
          <w:bCs/>
          <w:sz w:val="28"/>
          <w:szCs w:val="28"/>
        </w:rPr>
        <w:t>符合性审查标准</w:t>
      </w:r>
      <w:bookmarkEnd w:id="221"/>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bookmarkStart w:id="222" w:name="_Toc24092"/>
      <w:bookmarkStart w:id="223" w:name="_Toc12433"/>
      <w:bookmarkStart w:id="224" w:name="_Toc26597"/>
      <w:bookmarkStart w:id="225" w:name="_Toc28471"/>
      <w:bookmarkStart w:id="226" w:name="_Toc10720"/>
      <w:bookmarkStart w:id="227" w:name="_Toc14076"/>
      <w:bookmarkStart w:id="228" w:name="_Toc112879298"/>
      <w:r>
        <w:rPr>
          <w:rFonts w:ascii="黑体" w:hAnsi="黑体"/>
          <w:b w:val="0"/>
        </w:rPr>
        <w:t>2</w:t>
      </w:r>
      <w:r>
        <w:rPr>
          <w:rFonts w:hint="eastAsia" w:ascii="黑体" w:hAnsi="黑体"/>
          <w:b w:val="0"/>
        </w:rPr>
        <w:t>3</w:t>
      </w:r>
      <w:r>
        <w:rPr>
          <w:rFonts w:ascii="黑体" w:hAnsi="黑体"/>
          <w:b w:val="0"/>
        </w:rPr>
        <w:t>.</w:t>
      </w:r>
      <w:r>
        <w:rPr>
          <w:rFonts w:hint="eastAsia" w:ascii="黑体" w:hAnsi="黑体"/>
          <w:b w:val="0"/>
        </w:rPr>
        <w:t>询价程序</w:t>
      </w:r>
      <w:bookmarkEnd w:id="222"/>
      <w:bookmarkEnd w:id="223"/>
      <w:bookmarkEnd w:id="224"/>
      <w:bookmarkEnd w:id="225"/>
      <w:bookmarkEnd w:id="226"/>
      <w:bookmarkEnd w:id="227"/>
      <w:bookmarkEnd w:id="2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3</w:t>
      </w:r>
      <w:r>
        <w:rPr>
          <w:rFonts w:ascii="宋体" w:hAnsi="宋体"/>
          <w:bCs/>
          <w:sz w:val="28"/>
          <w:szCs w:val="28"/>
        </w:rPr>
        <w:t>.1</w:t>
      </w:r>
      <w:r>
        <w:rPr>
          <w:rFonts w:asciiTheme="minorEastAsia" w:hAnsiTheme="minorEastAsia" w:eastAsiaTheme="minorEastAsia"/>
          <w:bCs/>
          <w:snapToGrid w:val="0"/>
          <w:sz w:val="28"/>
          <w:szCs w:val="28"/>
          <w:lang w:val="zh-CN"/>
        </w:rPr>
        <w:t>按照</w:t>
      </w:r>
      <w:r>
        <w:rPr>
          <w:rFonts w:hint="eastAsia" w:ascii="宋体" w:hAnsi="宋体"/>
          <w:bCs/>
          <w:sz w:val="28"/>
          <w:szCs w:val="28"/>
        </w:rPr>
        <w:t>资格性审查、召开评审预备会、审阅询价文件、符合性审查、商务技术评审、价格评审、复核评审结果、出具评审报告、宣布评审结果、公示评审结果</w:t>
      </w:r>
      <w:bookmarkStart w:id="229" w:name="_Hlk128060302"/>
      <w:r>
        <w:rPr>
          <w:rFonts w:asciiTheme="minorEastAsia" w:hAnsiTheme="minorEastAsia" w:eastAsiaTheme="minorEastAsia"/>
          <w:bCs/>
          <w:snapToGrid w:val="0"/>
          <w:sz w:val="28"/>
          <w:szCs w:val="28"/>
          <w:lang w:val="zh-CN"/>
        </w:rPr>
        <w:t>的</w:t>
      </w:r>
      <w:r>
        <w:rPr>
          <w:rFonts w:hint="eastAsia" w:asciiTheme="minorEastAsia" w:hAnsiTheme="minorEastAsia" w:eastAsiaTheme="minorEastAsia"/>
          <w:bCs/>
          <w:snapToGrid w:val="0"/>
          <w:sz w:val="28"/>
          <w:szCs w:val="28"/>
          <w:lang w:val="zh-CN"/>
        </w:rPr>
        <w:t>基本</w:t>
      </w:r>
      <w:r>
        <w:rPr>
          <w:rFonts w:asciiTheme="minorEastAsia" w:hAnsiTheme="minorEastAsia" w:eastAsiaTheme="minorEastAsia"/>
          <w:bCs/>
          <w:snapToGrid w:val="0"/>
          <w:sz w:val="28"/>
          <w:szCs w:val="28"/>
          <w:lang w:val="zh-CN"/>
        </w:rPr>
        <w:t>程序组织实施</w:t>
      </w:r>
      <w:bookmarkEnd w:id="229"/>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24.</w:t>
      </w:r>
      <w:r>
        <w:rPr>
          <w:rFonts w:hint="eastAsia" w:ascii="黑体" w:hAnsi="黑体"/>
          <w:b w:val="0"/>
        </w:rPr>
        <w:t>资格性审查</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采购机构</w:t>
      </w:r>
      <w:r>
        <w:rPr>
          <w:rFonts w:ascii="宋体" w:hAnsi="宋体"/>
          <w:bCs/>
          <w:sz w:val="28"/>
          <w:szCs w:val="28"/>
        </w:rPr>
        <w:t>依据询价文件规定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对报价供应商的资格进行审查。</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（1）通过资格性审查的报价</w:t>
      </w:r>
      <w:r>
        <w:rPr>
          <w:rFonts w:hint="eastAsia" w:ascii="宋体" w:hAnsi="宋体"/>
          <w:bCs/>
          <w:sz w:val="28"/>
          <w:szCs w:val="28"/>
        </w:rPr>
        <w:t>供应商</w:t>
      </w:r>
      <w:r>
        <w:rPr>
          <w:rFonts w:hint="eastAsia" w:ascii="宋体" w:hAnsi="宋体"/>
          <w:bCs/>
          <w:sz w:val="28"/>
          <w:szCs w:val="36"/>
        </w:rPr>
        <w:t>进入后续评审；未通过资格性审查的报价</w:t>
      </w:r>
      <w:r>
        <w:rPr>
          <w:rFonts w:hint="eastAsia" w:ascii="宋体" w:hAnsi="宋体"/>
          <w:bCs/>
          <w:sz w:val="28"/>
          <w:szCs w:val="28"/>
        </w:rPr>
        <w:t>供应商不得</w:t>
      </w:r>
      <w:r>
        <w:rPr>
          <w:rFonts w:hint="eastAsia" w:ascii="宋体" w:hAnsi="宋体"/>
          <w:bCs/>
          <w:sz w:val="28"/>
          <w:szCs w:val="36"/>
        </w:rPr>
        <w:t>进入后续评审。</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（2）审查人员应当对资格性审查结果签字确认，并提交评审委员会。</w:t>
      </w:r>
    </w:p>
    <w:p>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）审</w:t>
      </w:r>
      <w:r>
        <w:rPr>
          <w:rFonts w:hint="eastAsia" w:ascii="仿宋_GB2312" w:hAnsi="仿宋"/>
          <w:bCs/>
          <w:sz w:val="28"/>
          <w:szCs w:val="36"/>
        </w:rPr>
        <w:t>查人员应当现场向未通过资格性审查的报价</w:t>
      </w:r>
      <w:r>
        <w:rPr>
          <w:rFonts w:hint="eastAsia" w:ascii="宋体" w:hAnsi="宋体"/>
          <w:bCs/>
          <w:sz w:val="28"/>
          <w:szCs w:val="28"/>
        </w:rPr>
        <w:t>供应商</w:t>
      </w:r>
      <w:r>
        <w:rPr>
          <w:rFonts w:hint="eastAsia" w:ascii="仿宋_GB2312" w:hAnsi="仿宋"/>
          <w:bCs/>
          <w:sz w:val="28"/>
          <w:szCs w:val="36"/>
        </w:rPr>
        <w:t>告知审查结果和未通过原因，报价</w:t>
      </w:r>
      <w:r>
        <w:rPr>
          <w:rFonts w:hint="eastAsia" w:ascii="宋体" w:hAnsi="宋体"/>
          <w:bCs/>
          <w:sz w:val="28"/>
          <w:szCs w:val="28"/>
        </w:rPr>
        <w:t>供应商</w:t>
      </w:r>
      <w:r>
        <w:rPr>
          <w:rFonts w:hint="eastAsia" w:ascii="仿宋_GB2312" w:hAnsi="仿宋"/>
          <w:bCs/>
          <w:sz w:val="28"/>
          <w:szCs w:val="36"/>
        </w:rPr>
        <w:t>签字确认；拒绝签字确认的，不影响资格性审查结果，审查人员如实记录并存入采购档案。报价</w:t>
      </w:r>
      <w:r>
        <w:rPr>
          <w:rFonts w:hint="eastAsia" w:ascii="宋体" w:hAnsi="宋体"/>
          <w:bCs/>
          <w:sz w:val="28"/>
          <w:szCs w:val="28"/>
        </w:rPr>
        <w:t>供应商</w:t>
      </w:r>
      <w:r>
        <w:rPr>
          <w:rFonts w:hint="eastAsia" w:ascii="仿宋_GB2312" w:hAnsi="仿宋"/>
          <w:bCs/>
          <w:sz w:val="28"/>
          <w:szCs w:val="36"/>
        </w:rPr>
        <w:t>有疑义的，审查人员应当当场解答。</w:t>
      </w:r>
    </w:p>
    <w:p>
      <w:pPr>
        <w:adjustRightInd w:val="0"/>
        <w:snapToGrid w:val="0"/>
        <w:spacing w:line="560" w:lineRule="exact"/>
        <w:ind w:firstLine="560" w:firstLineChars="200"/>
        <w:rPr>
          <w:rFonts w:ascii="仿宋_GB2312" w:hAnsi="仿宋"/>
          <w:bCs/>
          <w:sz w:val="28"/>
          <w:szCs w:val="36"/>
        </w:rPr>
      </w:pPr>
      <w:r>
        <w:rPr>
          <w:rFonts w:ascii="宋体" w:hAnsi="宋体"/>
          <w:bCs/>
          <w:sz w:val="28"/>
          <w:szCs w:val="36"/>
        </w:rPr>
        <w:t>24.2</w:t>
      </w:r>
      <w:r>
        <w:rPr>
          <w:rFonts w:hint="eastAsia" w:ascii="宋体" w:hAnsi="宋体"/>
          <w:bCs/>
          <w:sz w:val="28"/>
          <w:szCs w:val="36"/>
        </w:rPr>
        <w:t>询价</w:t>
      </w:r>
      <w:r>
        <w:rPr>
          <w:rFonts w:hint="eastAsia" w:ascii="仿宋_GB2312" w:hAnsi="仿宋"/>
          <w:bCs/>
          <w:sz w:val="28"/>
          <w:szCs w:val="36"/>
        </w:rPr>
        <w:t>采购过程中，供应商发生合并、分立或破产等重大变化时，应当及时书面告知采购机构。</w:t>
      </w:r>
      <w:bookmarkStart w:id="230" w:name="_Toc121473091"/>
      <w:bookmarkStart w:id="231" w:name="_Toc8848"/>
      <w:bookmarkStart w:id="232" w:name="_Toc112879299"/>
      <w:bookmarkStart w:id="233" w:name="_Toc27134"/>
      <w:bookmarkStart w:id="234" w:name="_Toc23435"/>
      <w:bookmarkStart w:id="235" w:name="_Toc516"/>
      <w:bookmarkStart w:id="236" w:name="_Toc6950"/>
      <w:bookmarkStart w:id="237" w:name="_Toc16757"/>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25.</w:t>
      </w:r>
      <w:r>
        <w:rPr>
          <w:rFonts w:hint="eastAsia" w:ascii="黑体" w:hAnsi="黑体"/>
          <w:b w:val="0"/>
        </w:rPr>
        <w:t>召开评审预备会</w:t>
      </w:r>
      <w:bookmarkEnd w:id="230"/>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25.1</w:t>
      </w:r>
      <w:r>
        <w:rPr>
          <w:rFonts w:hint="eastAsia" w:ascii="宋体" w:hAnsi="宋体"/>
          <w:bCs/>
          <w:sz w:val="28"/>
          <w:szCs w:val="28"/>
        </w:rPr>
        <w:t>采购机构组织评审委员会召开评审预备会。采购单位或采购机构介绍采购项目情况，采购机构</w:t>
      </w:r>
      <w:r>
        <w:rPr>
          <w:rFonts w:hint="eastAsia" w:ascii="仿宋_GB2312" w:hAnsi="仿宋"/>
          <w:bCs/>
          <w:sz w:val="28"/>
          <w:szCs w:val="36"/>
        </w:rPr>
        <w:t>重点说明评审标准和评审程序，并</w:t>
      </w:r>
      <w:r>
        <w:rPr>
          <w:rFonts w:hint="eastAsia" w:ascii="宋体" w:hAnsi="宋体"/>
          <w:bCs/>
          <w:sz w:val="28"/>
          <w:szCs w:val="28"/>
        </w:rPr>
        <w:t>介绍询价文件主要内容和质疑答复情况。评审委员会全体成员按照少数服从多数的原则，实名投票推选评审委员会组长。</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26.</w:t>
      </w:r>
      <w:r>
        <w:rPr>
          <w:rFonts w:hint="eastAsia" w:ascii="黑体" w:hAnsi="黑体"/>
          <w:b w:val="0"/>
        </w:rPr>
        <w:t>审阅询价文件</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26.1</w:t>
      </w:r>
      <w:r>
        <w:rPr>
          <w:rFonts w:hint="eastAsia" w:ascii="宋体" w:hAnsi="宋体"/>
          <w:bCs/>
          <w:sz w:val="28"/>
          <w:szCs w:val="28"/>
        </w:rPr>
        <w:t>评审委员会在评审开始前审阅询价文件，重点熟悉理解询价文件符合性审查要求、无效报价条款和评审标准等内容。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26.2评审委员会成员对</w:t>
      </w:r>
      <w:r>
        <w:rPr>
          <w:rFonts w:hint="eastAsia" w:ascii="宋体" w:hAnsi="宋体"/>
          <w:bCs/>
          <w:sz w:val="28"/>
          <w:szCs w:val="28"/>
        </w:rPr>
        <w:t>询价文件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询价文件中涉及技术参数、技术方案等问题的，应当提请采购单位书面澄清。书面解释或澄清不得改变询价文件原义或影响客观公正评审。书面解释或澄清仍不能解决询价文件存在的歧义或重大缺陷，导致评审工作无法进行的，应当终止评审工作，在评审报告中书面说明情况，并提出询价文件修改意见。采购机构应当予以记录。</w:t>
      </w:r>
    </w:p>
    <w:bookmarkEnd w:id="231"/>
    <w:bookmarkEnd w:id="232"/>
    <w:bookmarkEnd w:id="233"/>
    <w:bookmarkEnd w:id="234"/>
    <w:bookmarkEnd w:id="235"/>
    <w:bookmarkEnd w:id="236"/>
    <w:bookmarkEnd w:id="237"/>
    <w:p>
      <w:pPr>
        <w:pStyle w:val="6"/>
        <w:keepNext w:val="0"/>
        <w:keepLines w:val="0"/>
        <w:adjustRightInd w:val="0"/>
        <w:snapToGrid w:val="0"/>
        <w:spacing w:before="0" w:after="0" w:line="560" w:lineRule="exact"/>
        <w:ind w:firstLine="560"/>
        <w:rPr>
          <w:rFonts w:ascii="黑体" w:hAnsi="黑体"/>
          <w:b w:val="0"/>
        </w:rPr>
      </w:pPr>
      <w:bookmarkStart w:id="238" w:name="_Toc24288"/>
      <w:bookmarkStart w:id="239" w:name="_Toc13063"/>
      <w:bookmarkStart w:id="240" w:name="_Toc27253"/>
      <w:bookmarkStart w:id="241" w:name="_Toc31138"/>
      <w:bookmarkStart w:id="242" w:name="_Toc31699"/>
      <w:bookmarkStart w:id="243" w:name="_Toc112879300"/>
      <w:bookmarkStart w:id="244" w:name="_Toc4197"/>
      <w:r>
        <w:rPr>
          <w:rFonts w:ascii="黑体" w:hAnsi="黑体"/>
          <w:b w:val="0"/>
        </w:rPr>
        <w:t>27.</w:t>
      </w:r>
      <w:r>
        <w:rPr>
          <w:rFonts w:hint="eastAsia" w:ascii="黑体" w:hAnsi="黑体"/>
          <w:b w:val="0"/>
        </w:rPr>
        <w:t>符合性审查</w:t>
      </w:r>
      <w:bookmarkEnd w:id="238"/>
      <w:bookmarkEnd w:id="239"/>
      <w:bookmarkEnd w:id="240"/>
      <w:bookmarkEnd w:id="241"/>
      <w:bookmarkEnd w:id="242"/>
      <w:bookmarkEnd w:id="243"/>
      <w:bookmarkEnd w:id="244"/>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27.1</w:t>
      </w:r>
      <w:r>
        <w:rPr>
          <w:rFonts w:hint="eastAsia" w:asciiTheme="minorEastAsia" w:hAnsiTheme="minorEastAsia" w:eastAsiaTheme="minorEastAsia"/>
          <w:bCs/>
          <w:sz w:val="28"/>
          <w:szCs w:val="28"/>
        </w:rPr>
        <w:t>报价文件的偏离与实质性响应：</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1）询价文件中用“★”号标明的条款</w:t>
      </w:r>
      <w:r>
        <w:rPr>
          <w:rFonts w:hint="eastAsia" w:asciiTheme="minorEastAsia" w:hAnsiTheme="minorEastAsia" w:eastAsiaTheme="minorEastAsia"/>
          <w:bCs/>
          <w:sz w:val="28"/>
          <w:szCs w:val="28"/>
        </w:rPr>
        <w:t>不允许负偏离，报价供应商应当作出实质性响应，未作实质性响应的视为无效报价。</w:t>
      </w:r>
    </w:p>
    <w:p>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报价文件中非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r>
        <w:rPr>
          <w:rFonts w:hint="eastAsia" w:asciiTheme="minorEastAsia" w:hAnsiTheme="minorEastAsia" w:eastAsiaTheme="minorEastAsia"/>
          <w:bCs/>
          <w:sz w:val="28"/>
          <w:szCs w:val="28"/>
        </w:rPr>
        <w:t>【报价供应商须知前附表】明确的要求，否则视为无效报价。</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27.2</w:t>
      </w:r>
      <w:r>
        <w:rPr>
          <w:rFonts w:hint="eastAsia" w:ascii="宋体" w:hAnsi="宋体"/>
          <w:bCs/>
          <w:sz w:val="28"/>
          <w:szCs w:val="28"/>
        </w:rPr>
        <w:t>采购机构资格性审查结束后，评审委员会应当依据询价文件规定的符合性审查标准，对资格性审查合格的报价供应商的报价文件进行符合性审查，确定其是否满足询价文件的实质性要求。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1）不得以询价文件未明确的内容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报价供应商</w:t>
      </w:r>
      <w:r>
        <w:rPr>
          <w:rFonts w:ascii="宋体" w:hAnsi="宋体"/>
          <w:bCs/>
          <w:sz w:val="28"/>
          <w:szCs w:val="28"/>
          <w:lang w:val="zh-CN"/>
        </w:rPr>
        <w:t>无效报价</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符合性审查不合格的，不得进入后续评审。评审委员会组长当场向未通过符合性审查的报价供应商告知审查结果和未通过原因，报价供应商签字确认。报价供应商有疑义的，评审委员会应当现场解答。报价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p>
    <w:p>
      <w:pPr>
        <w:pStyle w:val="6"/>
        <w:keepNext w:val="0"/>
        <w:keepLines w:val="0"/>
        <w:adjustRightInd w:val="0"/>
        <w:snapToGrid w:val="0"/>
        <w:spacing w:before="0" w:after="0" w:line="560" w:lineRule="exact"/>
        <w:ind w:firstLine="560"/>
        <w:rPr>
          <w:rFonts w:ascii="黑体" w:hAnsi="黑体"/>
          <w:b w:val="0"/>
        </w:rPr>
      </w:pPr>
      <w:bookmarkStart w:id="245" w:name="_Toc3397"/>
      <w:bookmarkStart w:id="246" w:name="_Toc2267"/>
      <w:bookmarkStart w:id="247" w:name="_Toc17224"/>
      <w:bookmarkStart w:id="248" w:name="_Toc112879301"/>
      <w:bookmarkStart w:id="249" w:name="_Toc16516"/>
      <w:bookmarkStart w:id="250" w:name="_Toc18891"/>
      <w:bookmarkStart w:id="251" w:name="_Toc17723"/>
      <w:r>
        <w:rPr>
          <w:rFonts w:ascii="黑体" w:hAnsi="黑体"/>
          <w:b w:val="0"/>
        </w:rPr>
        <w:t>28.</w:t>
      </w:r>
      <w:bookmarkEnd w:id="245"/>
      <w:bookmarkEnd w:id="246"/>
      <w:bookmarkEnd w:id="247"/>
      <w:bookmarkEnd w:id="248"/>
      <w:bookmarkEnd w:id="249"/>
      <w:bookmarkEnd w:id="250"/>
      <w:bookmarkEnd w:id="251"/>
      <w:r>
        <w:rPr>
          <w:rFonts w:hint="eastAsia" w:ascii="黑体" w:hAnsi="黑体"/>
          <w:b w:val="0"/>
        </w:rPr>
        <w:t>解释与澄清</w:t>
      </w:r>
    </w:p>
    <w:p>
      <w:pPr>
        <w:adjustRightInd w:val="0"/>
        <w:snapToGrid w:val="0"/>
        <w:spacing w:line="560" w:lineRule="exact"/>
        <w:ind w:firstLine="560" w:firstLineChars="200"/>
        <w:jc w:val="left"/>
        <w:rPr>
          <w:rFonts w:ascii="仿宋_GB2312" w:hAnsi="仿宋"/>
          <w:bCs/>
          <w:sz w:val="28"/>
          <w:szCs w:val="28"/>
        </w:rPr>
      </w:pPr>
      <w:r>
        <w:rPr>
          <w:rFonts w:asciiTheme="minorEastAsia" w:hAnsiTheme="minorEastAsia" w:eastAsiaTheme="minorEastAsia"/>
          <w:bCs/>
          <w:sz w:val="28"/>
          <w:szCs w:val="28"/>
        </w:rPr>
        <w:t>28.1</w:t>
      </w:r>
      <w:r>
        <w:rPr>
          <w:rFonts w:hint="eastAsia" w:ascii="仿宋_GB2312" w:hAnsi="仿宋"/>
          <w:bCs/>
          <w:sz w:val="28"/>
          <w:szCs w:val="28"/>
        </w:rPr>
        <w:t>对于报价文件中含义不明确</w:t>
      </w:r>
      <w:r>
        <w:rPr>
          <w:rFonts w:hint="eastAsia" w:asciiTheme="minorEastAsia" w:hAnsiTheme="minorEastAsia" w:eastAsiaTheme="minorEastAsia"/>
          <w:bCs/>
          <w:sz w:val="28"/>
          <w:szCs w:val="28"/>
        </w:rPr>
        <w:t>、同类问题表述不一致</w:t>
      </w:r>
      <w:r>
        <w:rPr>
          <w:rFonts w:hint="eastAsia" w:ascii="仿宋_GB2312" w:hAnsi="仿宋"/>
          <w:bCs/>
          <w:sz w:val="28"/>
          <w:szCs w:val="28"/>
        </w:rPr>
        <w:t>或有明显文字、计算错误的内容，</w:t>
      </w:r>
      <w:r>
        <w:rPr>
          <w:rFonts w:hint="eastAsia" w:asciiTheme="minorEastAsia" w:hAnsiTheme="minorEastAsia" w:eastAsiaTheme="minorEastAsia"/>
          <w:bCs/>
          <w:sz w:val="28"/>
          <w:szCs w:val="28"/>
        </w:rPr>
        <w:t>评审委员会应当要求报价供应商作出书面澄清、说明或补正，并给予其必要的反馈时间</w:t>
      </w:r>
      <w:r>
        <w:rPr>
          <w:rFonts w:hint="eastAsia" w:ascii="仿宋_GB2312" w:hAnsi="仿宋"/>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28.2</w:t>
      </w:r>
      <w:r>
        <w:rPr>
          <w:rFonts w:hint="eastAsia" w:asciiTheme="minorEastAsia" w:hAnsiTheme="minorEastAsia" w:eastAsiaTheme="minorEastAsia"/>
          <w:bCs/>
          <w:sz w:val="28"/>
          <w:szCs w:val="28"/>
        </w:rPr>
        <w:t>报价</w:t>
      </w:r>
      <w:r>
        <w:rPr>
          <w:rFonts w:hint="eastAsia" w:ascii="仿宋_GB2312" w:hAnsi="仿宋"/>
          <w:bCs/>
          <w:sz w:val="28"/>
          <w:szCs w:val="28"/>
        </w:rPr>
        <w:t>供应商的澄清、说明或补正应当由法定代表人或授权代表签字。</w:t>
      </w:r>
      <w:r>
        <w:rPr>
          <w:rFonts w:hint="eastAsia" w:asciiTheme="minorEastAsia" w:hAnsiTheme="minorEastAsia" w:eastAsiaTheme="minorEastAsia"/>
          <w:bCs/>
          <w:sz w:val="28"/>
          <w:szCs w:val="28"/>
        </w:rPr>
        <w:t>未签字的，澄清、说明或补正内容无效。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w:t>
      </w:r>
      <w:r>
        <w:rPr>
          <w:rFonts w:asciiTheme="minorEastAsia" w:hAnsiTheme="minorEastAsia" w:eastAsiaTheme="minorEastAsia"/>
          <w:bCs/>
          <w:sz w:val="28"/>
          <w:szCs w:val="28"/>
        </w:rPr>
        <w:t>8.3</w:t>
      </w:r>
      <w:r>
        <w:rPr>
          <w:rFonts w:hint="eastAsia" w:ascii="仿宋_GB2312" w:hAnsi="仿宋"/>
          <w:bCs/>
          <w:sz w:val="28"/>
          <w:szCs w:val="28"/>
        </w:rPr>
        <w:t>有效的书面澄清材料，是报价文件的补充材料，成为报价文件的组成部分。</w:t>
      </w:r>
    </w:p>
    <w:p>
      <w:pPr>
        <w:adjustRightInd w:val="0"/>
        <w:snapToGrid w:val="0"/>
        <w:spacing w:line="560" w:lineRule="exact"/>
        <w:ind w:firstLine="560" w:firstLineChars="200"/>
        <w:rPr>
          <w:rFonts w:ascii="宋体" w:hAnsi="宋体" w:cs="宋体"/>
          <w:bCs/>
          <w:kern w:val="0"/>
          <w:sz w:val="28"/>
          <w:szCs w:val="28"/>
        </w:rPr>
      </w:pPr>
      <w:r>
        <w:rPr>
          <w:rFonts w:hint="eastAsia" w:ascii="宋体" w:hAnsi="宋体" w:cs="宋体"/>
          <w:bCs/>
          <w:kern w:val="0"/>
          <w:sz w:val="28"/>
          <w:szCs w:val="28"/>
        </w:rPr>
        <w:t>2</w:t>
      </w:r>
      <w:r>
        <w:rPr>
          <w:rFonts w:ascii="宋体" w:hAnsi="宋体" w:cs="宋体"/>
          <w:bCs/>
          <w:kern w:val="0"/>
          <w:sz w:val="28"/>
          <w:szCs w:val="28"/>
        </w:rPr>
        <w:t>8.4</w:t>
      </w:r>
      <w:r>
        <w:rPr>
          <w:rFonts w:hint="eastAsia" w:ascii="宋体" w:hAnsi="宋体" w:cs="宋体"/>
          <w:bCs/>
          <w:kern w:val="0"/>
          <w:sz w:val="28"/>
          <w:szCs w:val="28"/>
        </w:rPr>
        <w:t>报价文件出现下列情形，</w:t>
      </w:r>
      <w:r>
        <w:rPr>
          <w:rFonts w:hint="eastAsia" w:asciiTheme="minorEastAsia" w:hAnsiTheme="minorEastAsia" w:eastAsiaTheme="minorEastAsia"/>
          <w:bCs/>
          <w:sz w:val="28"/>
          <w:szCs w:val="28"/>
        </w:rPr>
        <w:t>不需要供应商澄清，</w:t>
      </w:r>
      <w:r>
        <w:rPr>
          <w:rFonts w:hint="eastAsia" w:ascii="宋体" w:hAnsi="宋体" w:cs="宋体"/>
          <w:bCs/>
          <w:kern w:val="0"/>
          <w:sz w:val="28"/>
          <w:szCs w:val="28"/>
        </w:rPr>
        <w:t>按照下列规定进行算术修正：</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（1）报价文件的大写金额和小写金额不一致的，以大写金额为准，但大写金额出现文字错误，导致金额无法判断的，以小写金额为准。</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（2）总价金额与按照单价汇总金额不一致的，以单价汇总金额为准，但是单价汇总金额出现计算错误且明显人为工作失误的，以总价金额为准；单价金额小数点有明显错位的，以总价金额为准。</w:t>
      </w:r>
    </w:p>
    <w:p>
      <w:pPr>
        <w:adjustRightInd w:val="0"/>
        <w:snapToGrid w:val="0"/>
        <w:spacing w:line="560" w:lineRule="exact"/>
        <w:ind w:firstLine="560" w:firstLineChars="200"/>
        <w:rPr>
          <w:rFonts w:ascii="宋体" w:hAnsi="宋体" w:cs="宋体"/>
          <w:kern w:val="0"/>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不同语言文本报价文件的解释有异议的，以中文文本为准。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cs="宋体"/>
          <w:kern w:val="0"/>
          <w:sz w:val="28"/>
          <w:szCs w:val="28"/>
        </w:rPr>
        <w:t>同时出现本条第（1）（2）项情形的，按照第（</w:t>
      </w:r>
      <w:r>
        <w:rPr>
          <w:rFonts w:ascii="宋体" w:hAnsi="宋体" w:cs="宋体"/>
          <w:kern w:val="0"/>
          <w:sz w:val="28"/>
          <w:szCs w:val="28"/>
        </w:rPr>
        <w:t>1</w:t>
      </w:r>
      <w:r>
        <w:rPr>
          <w:rFonts w:hint="eastAsia" w:ascii="宋体" w:hAnsi="宋体" w:cs="宋体"/>
          <w:kern w:val="0"/>
          <w:sz w:val="28"/>
          <w:szCs w:val="28"/>
        </w:rPr>
        <w:t>）项规定修正。</w:t>
      </w:r>
      <w:r>
        <w:rPr>
          <w:rFonts w:asciiTheme="minorEastAsia" w:hAnsiTheme="minorEastAsia" w:eastAsiaTheme="minorEastAsia"/>
          <w:bCs/>
          <w:sz w:val="28"/>
          <w:szCs w:val="28"/>
        </w:rPr>
        <w:t>修正后的内容经</w:t>
      </w:r>
      <w:r>
        <w:rPr>
          <w:rFonts w:hint="eastAsia" w:asciiTheme="minorEastAsia" w:hAnsiTheme="minorEastAsia" w:eastAsiaTheme="minorEastAsia"/>
          <w:bCs/>
          <w:sz w:val="28"/>
          <w:szCs w:val="28"/>
        </w:rPr>
        <w:t>报价供应商确认后继续评审，报价供应商不确认的，其报价无效。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cs="仿宋" w:asciiTheme="minorEastAsia" w:hAnsiTheme="minorEastAsia" w:eastAsiaTheme="minorEastAsia"/>
          <w:bCs/>
          <w:sz w:val="28"/>
          <w:szCs w:val="28"/>
        </w:rPr>
        <w:t>28.5</w:t>
      </w:r>
      <w:r>
        <w:rPr>
          <w:rFonts w:hint="eastAsia" w:cs="仿宋" w:asciiTheme="minorEastAsia" w:hAnsiTheme="minorEastAsia" w:eastAsiaTheme="minorEastAsia"/>
          <w:bCs/>
          <w:sz w:val="28"/>
          <w:szCs w:val="28"/>
        </w:rPr>
        <w:t>评审委员会组织澄清时不得出现下列情形：</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拒绝接受采购机构或采购单位对询价文件的解释、说明；</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cs="仿宋" w:asciiTheme="minorEastAsia" w:hAnsiTheme="minorEastAsia" w:eastAsiaTheme="minorEastAsia"/>
          <w:bCs/>
          <w:sz w:val="28"/>
          <w:szCs w:val="28"/>
        </w:rPr>
        <w:t>要求或接受报价供应商作出超出报价文件的范围、与报价文件原义不同，或改变报价文件实质性内容的</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暗示或诱导报价供应商作出</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4</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接受报价供应商主动提出的</w:t>
      </w:r>
      <w:r>
        <w:rPr>
          <w:rFonts w:hint="eastAsia" w:asciiTheme="minorEastAsia" w:hAnsiTheme="minorEastAsia" w:eastAsiaTheme="minorEastAsia"/>
          <w:bCs/>
          <w:sz w:val="28"/>
          <w:szCs w:val="28"/>
        </w:rPr>
        <w:t>澄清、说明、补正</w:t>
      </w:r>
      <w:r>
        <w:rPr>
          <w:rFonts w:hint="eastAsia" w:cs="仿宋" w:asciiTheme="minorEastAsia" w:hAnsiTheme="minorEastAsia" w:eastAsiaTheme="minorEastAsia"/>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28.6</w:t>
      </w:r>
      <w:r>
        <w:rPr>
          <w:rFonts w:hint="eastAsia" w:asciiTheme="minorEastAsia" w:hAnsiTheme="minorEastAsia" w:eastAsiaTheme="minorEastAsia"/>
          <w:bCs/>
          <w:sz w:val="28"/>
          <w:szCs w:val="28"/>
        </w:rPr>
        <w:t>评审委员会不得要求报价供应商澄清下列内容：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报价价格、价格折扣、询价文件允许提供的备选报价方案等实质性内容；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asciiTheme="minorEastAsia" w:hAnsiTheme="minorEastAsia" w:eastAsiaTheme="minorEastAsia"/>
          <w:bCs/>
          <w:sz w:val="28"/>
          <w:szCs w:val="28"/>
          <w:lang w:val="zh-CN"/>
        </w:rPr>
        <w:t>）报价文件中不响应询价文件规定的技术参数指标和商务要求；</w:t>
      </w:r>
    </w:p>
    <w:p>
      <w:pPr>
        <w:adjustRightInd w:val="0"/>
        <w:snapToGrid w:val="0"/>
        <w:spacing w:line="560" w:lineRule="exact"/>
        <w:ind w:firstLine="560" w:firstLineChars="200"/>
        <w:jc w:val="left"/>
        <w:rPr>
          <w:rFonts w:ascii="宋体" w:hAnsi="宋体" w:cs="宋体"/>
          <w:bCs/>
          <w:strike/>
          <w:kern w:val="0"/>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）报价文件中未提供的资格性、符合性审查要求的证明材料。</w:t>
      </w:r>
    </w:p>
    <w:p>
      <w:pPr>
        <w:pStyle w:val="6"/>
        <w:keepNext w:val="0"/>
        <w:keepLines w:val="0"/>
        <w:adjustRightInd w:val="0"/>
        <w:snapToGrid w:val="0"/>
        <w:spacing w:before="0" w:after="0" w:line="560" w:lineRule="exact"/>
        <w:ind w:firstLine="560"/>
        <w:rPr>
          <w:rFonts w:ascii="黑体" w:hAnsi="黑体"/>
          <w:b w:val="0"/>
        </w:rPr>
      </w:pPr>
      <w:bookmarkStart w:id="252" w:name="_Toc4309"/>
      <w:bookmarkStart w:id="253" w:name="_Toc112879302"/>
      <w:bookmarkStart w:id="254" w:name="_Toc18948"/>
      <w:bookmarkStart w:id="255" w:name="_Toc13079"/>
      <w:bookmarkStart w:id="256" w:name="_Toc25906"/>
      <w:bookmarkStart w:id="257" w:name="_Toc3862"/>
      <w:bookmarkStart w:id="258" w:name="_Toc449"/>
      <w:r>
        <w:rPr>
          <w:rFonts w:ascii="黑体" w:hAnsi="黑体"/>
          <w:b w:val="0"/>
        </w:rPr>
        <w:t>29.</w:t>
      </w:r>
      <w:r>
        <w:rPr>
          <w:rFonts w:hint="eastAsia" w:ascii="黑体" w:hAnsi="黑体"/>
          <w:b w:val="0"/>
        </w:rPr>
        <w:t>商务、技术评审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29.</w:t>
      </w:r>
      <w:r>
        <w:rPr>
          <w:rFonts w:ascii="宋体" w:hAnsi="宋体"/>
          <w:bCs/>
          <w:snapToGrid w:val="0"/>
          <w:sz w:val="28"/>
          <w:szCs w:val="28"/>
          <w:lang w:val="zh-CN"/>
        </w:rPr>
        <w:t>1</w:t>
      </w:r>
      <w:r>
        <w:rPr>
          <w:rFonts w:hint="eastAsia" w:ascii="宋体" w:hAnsi="宋体"/>
          <w:bCs/>
          <w:snapToGrid w:val="0"/>
          <w:sz w:val="28"/>
          <w:szCs w:val="28"/>
          <w:lang w:val="zh-CN"/>
        </w:rPr>
        <w:t>询价采用经评审的最低价法评审：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评审委员会按询价文件规定的评审标准，</w:t>
      </w:r>
      <w:r>
        <w:rPr>
          <w:rFonts w:hint="eastAsia"/>
          <w:sz w:val="28"/>
          <w:szCs w:val="28"/>
        </w:rPr>
        <w:t>对资格性和符合性审查合格的</w:t>
      </w:r>
      <w:r>
        <w:rPr>
          <w:rFonts w:hint="eastAsia" w:ascii="宋体" w:hAnsi="宋体"/>
          <w:sz w:val="28"/>
          <w:szCs w:val="28"/>
        </w:rPr>
        <w:t>报价供应商提交的</w:t>
      </w:r>
      <w:r>
        <w:rPr>
          <w:rFonts w:hint="eastAsia"/>
          <w:sz w:val="28"/>
          <w:szCs w:val="28"/>
        </w:rPr>
        <w:t>报价文件进行</w:t>
      </w:r>
      <w:r>
        <w:rPr>
          <w:rFonts w:hint="eastAsia" w:asciiTheme="minorEastAsia" w:hAnsiTheme="minorEastAsia" w:eastAsiaTheme="minorEastAsia"/>
          <w:bCs/>
          <w:sz w:val="28"/>
          <w:szCs w:val="28"/>
        </w:rPr>
        <w:t>商务</w:t>
      </w:r>
      <w:r>
        <w:rPr>
          <w:rFonts w:hint="eastAsia" w:ascii="宋体" w:hAnsi="宋体"/>
          <w:bCs/>
          <w:snapToGrid w:val="0"/>
          <w:sz w:val="28"/>
          <w:szCs w:val="28"/>
          <w:lang w:val="zh-CN"/>
        </w:rPr>
        <w:t>、技术评审，审查指标是否实质性响应；必要时，对技术指标优劣进行排序。</w:t>
      </w:r>
    </w:p>
    <w:p>
      <w:pPr>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29</w:t>
      </w:r>
      <w:r>
        <w:rPr>
          <w:rFonts w:hint="eastAsia" w:ascii="宋体" w:hAnsi="宋体"/>
          <w:bCs/>
          <w:snapToGrid w:val="0"/>
          <w:sz w:val="28"/>
          <w:szCs w:val="28"/>
          <w:lang w:val="zh-CN"/>
        </w:rPr>
        <w:t>.2相同品牌或核心产品评审。</w:t>
      </w:r>
    </w:p>
    <w:p>
      <w:pPr>
        <w:spacing w:line="560" w:lineRule="exact"/>
        <w:ind w:firstLine="560" w:firstLineChars="200"/>
        <w:rPr>
          <w:rFonts w:ascii="宋体" w:hAnsi="宋体"/>
          <w:bCs/>
          <w:sz w:val="28"/>
          <w:szCs w:val="28"/>
        </w:rPr>
      </w:pPr>
      <w:r>
        <w:rPr>
          <w:rFonts w:hint="eastAsia" w:ascii="宋体" w:hAnsi="宋体"/>
          <w:bCs/>
          <w:snapToGrid w:val="0"/>
          <w:sz w:val="28"/>
          <w:szCs w:val="28"/>
          <w:lang w:val="zh-CN"/>
        </w:rPr>
        <w:t>（1）单个品种物资采购项目，</w:t>
      </w:r>
      <w:r>
        <w:rPr>
          <w:rFonts w:ascii="宋体" w:hAnsi="宋体"/>
          <w:bCs/>
          <w:snapToGrid w:val="0"/>
          <w:sz w:val="28"/>
          <w:szCs w:val="28"/>
          <w:lang w:val="zh-CN"/>
        </w:rPr>
        <w:t>不同</w:t>
      </w:r>
      <w:r>
        <w:rPr>
          <w:rFonts w:hint="eastAsia" w:ascii="宋体" w:hAnsi="宋体"/>
          <w:bCs/>
          <w:snapToGrid w:val="0"/>
          <w:sz w:val="28"/>
          <w:szCs w:val="28"/>
          <w:lang w:val="zh-CN"/>
        </w:rPr>
        <w:t>报价供应商提供相同品牌产品的，报</w:t>
      </w:r>
      <w:r>
        <w:rPr>
          <w:rFonts w:hint="eastAsia" w:ascii="宋体" w:hAnsi="宋体"/>
          <w:bCs/>
          <w:sz w:val="28"/>
          <w:szCs w:val="28"/>
        </w:rPr>
        <w:t>价供应商数量按1家报价供应商计算。提供不同品牌产品的报价供应商达到3家及以上的继续组织评审，其中，采用经评审的最低价法的，由同品牌的所有报价供应商中报价最低的参加后续评审。同品牌报价供应商报价相同的，由评审委员会按照【</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r>
        <w:rPr>
          <w:rFonts w:hint="eastAsia" w:asciiTheme="minorEastAsia" w:hAnsiTheme="minorEastAsia" w:eastAsiaTheme="minorEastAsia"/>
          <w:bCs/>
          <w:sz w:val="28"/>
          <w:szCs w:val="28"/>
        </w:rPr>
        <w:t>明确的方式</w:t>
      </w:r>
      <w:r>
        <w:rPr>
          <w:rFonts w:hint="eastAsia" w:ascii="宋体" w:hAnsi="宋体"/>
          <w:bCs/>
          <w:sz w:val="28"/>
          <w:szCs w:val="28"/>
        </w:rPr>
        <w:t>确定1家供应商参加后续评审</w:t>
      </w: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36"/>
        </w:rPr>
        <w:t>只有</w:t>
      </w:r>
      <w:r>
        <w:rPr>
          <w:rFonts w:asciiTheme="minorEastAsia" w:hAnsiTheme="minorEastAsia" w:eastAsiaTheme="minorEastAsia"/>
          <w:bCs/>
          <w:sz w:val="28"/>
          <w:szCs w:val="36"/>
        </w:rPr>
        <w:t>2</w:t>
      </w:r>
      <w:r>
        <w:rPr>
          <w:rFonts w:hint="eastAsia" w:asciiTheme="minorEastAsia" w:hAnsiTheme="minorEastAsia" w:eastAsiaTheme="minorEastAsia"/>
          <w:bCs/>
          <w:sz w:val="28"/>
          <w:szCs w:val="36"/>
        </w:rPr>
        <w:t>家品牌</w:t>
      </w:r>
      <w:r>
        <w:rPr>
          <w:rFonts w:hint="eastAsia" w:ascii="仿宋_GB2312" w:hAnsi="仿宋"/>
          <w:bCs/>
          <w:sz w:val="28"/>
          <w:szCs w:val="36"/>
        </w:rPr>
        <w:t>产品的，按照本章</w:t>
      </w:r>
      <w:r>
        <w:rPr>
          <w:rFonts w:hint="eastAsia" w:ascii="宋体" w:hAnsi="宋体"/>
          <w:bCs/>
          <w:sz w:val="28"/>
          <w:szCs w:val="36"/>
        </w:rPr>
        <w:t>第</w:t>
      </w:r>
      <w:r>
        <w:rPr>
          <w:rFonts w:ascii="宋体" w:hAnsi="宋体"/>
          <w:bCs/>
          <w:sz w:val="28"/>
          <w:szCs w:val="36"/>
        </w:rPr>
        <w:t>39.1</w:t>
      </w:r>
      <w:r>
        <w:rPr>
          <w:rFonts w:hint="eastAsia" w:ascii="宋体" w:hAnsi="宋体"/>
          <w:bCs/>
          <w:sz w:val="28"/>
          <w:szCs w:val="36"/>
        </w:rPr>
        <w:t>条</w:t>
      </w:r>
      <w:r>
        <w:rPr>
          <w:rFonts w:hint="eastAsia" w:ascii="仿宋_GB2312" w:hAnsi="仿宋"/>
          <w:bCs/>
          <w:sz w:val="28"/>
          <w:szCs w:val="36"/>
        </w:rPr>
        <w:t>明确的方法执行。</w:t>
      </w:r>
    </w:p>
    <w:p>
      <w:pPr>
        <w:adjustRightInd w:val="0"/>
        <w:snapToGrid w:val="0"/>
        <w:spacing w:line="560" w:lineRule="exact"/>
        <w:ind w:firstLine="560" w:firstLineChars="200"/>
      </w:pPr>
      <w:r>
        <w:rPr>
          <w:rFonts w:hint="eastAsia" w:ascii="宋体" w:hAnsi="宋体"/>
          <w:bCs/>
          <w:sz w:val="28"/>
          <w:szCs w:val="28"/>
        </w:rPr>
        <w:t>（2）多个品种物资采购项目，核心产品见【</w:t>
      </w:r>
      <w:r>
        <w:rPr>
          <w:rFonts w:hint="eastAsia" w:asciiTheme="minorEastAsia" w:hAnsiTheme="minorEastAsia" w:eastAsiaTheme="minorEastAsia"/>
          <w:bCs/>
          <w:sz w:val="28"/>
          <w:szCs w:val="28"/>
        </w:rPr>
        <w:t>报价供应商</w:t>
      </w:r>
      <w:r>
        <w:rPr>
          <w:rFonts w:hint="eastAsia" w:ascii="宋体" w:hAnsi="宋体"/>
          <w:bCs/>
          <w:sz w:val="28"/>
          <w:szCs w:val="28"/>
        </w:rPr>
        <w:t>须知前附表】。多家报价供应商提供的核心产品品牌相同的，以及报价文件未明确核心产品、不同供应商提供的相同品牌产品金额均超过各自报价50%的，按照1家报价供应商计算，依据前条执行。</w:t>
      </w:r>
    </w:p>
    <w:p>
      <w:pPr>
        <w:pStyle w:val="6"/>
        <w:keepNext w:val="0"/>
        <w:keepLines w:val="0"/>
        <w:adjustRightInd w:val="0"/>
        <w:snapToGrid w:val="0"/>
        <w:spacing w:before="0" w:after="0" w:line="560" w:lineRule="exact"/>
        <w:ind w:firstLine="560"/>
        <w:rPr>
          <w:rFonts w:ascii="黑体" w:hAnsi="黑体"/>
          <w:b w:val="0"/>
        </w:rPr>
      </w:pPr>
      <w:r>
        <w:rPr>
          <w:rFonts w:hint="eastAsia" w:ascii="黑体" w:hAnsi="黑体"/>
          <w:b w:val="0"/>
        </w:rPr>
        <w:t>3</w:t>
      </w:r>
      <w:r>
        <w:rPr>
          <w:rFonts w:ascii="黑体" w:hAnsi="黑体"/>
          <w:b w:val="0"/>
        </w:rPr>
        <w:t>0.</w:t>
      </w:r>
      <w:bookmarkEnd w:id="252"/>
      <w:bookmarkEnd w:id="253"/>
      <w:bookmarkEnd w:id="254"/>
      <w:bookmarkEnd w:id="255"/>
      <w:bookmarkEnd w:id="256"/>
      <w:bookmarkEnd w:id="257"/>
      <w:bookmarkEnd w:id="258"/>
      <w:r>
        <w:rPr>
          <w:rFonts w:hint="eastAsia" w:ascii="黑体" w:hAnsi="黑体"/>
          <w:b w:val="0"/>
        </w:rPr>
        <w:t>价格评审</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商务、技术评审结束后，工作人员再将“价格文件”交评审委员会。评审委员会组织价格评审，核对报价内容是否准确、合理。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0.1</w:t>
      </w:r>
      <w:r>
        <w:rPr>
          <w:rFonts w:hint="eastAsia" w:asciiTheme="minorEastAsia" w:hAnsiTheme="minorEastAsia" w:eastAsiaTheme="minorEastAsia"/>
          <w:bCs/>
          <w:sz w:val="28"/>
          <w:szCs w:val="28"/>
        </w:rPr>
        <w:t>经评审的最低价法的价格评审，按照报价由低到高顺序排列。</w:t>
      </w:r>
    </w:p>
    <w:p>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0.2</w:t>
      </w:r>
      <w:r>
        <w:rPr>
          <w:rFonts w:hint="eastAsia" w:ascii="宋体" w:hAnsi="宋体"/>
          <w:bCs/>
          <w:sz w:val="28"/>
          <w:szCs w:val="28"/>
        </w:rPr>
        <w:t>评审委员会认为报价供应商</w:t>
      </w:r>
      <w:r>
        <w:rPr>
          <w:rFonts w:hint="eastAsia" w:asciiTheme="minorEastAsia" w:hAnsiTheme="minorEastAsia" w:eastAsiaTheme="minorEastAsia"/>
          <w:bCs/>
          <w:sz w:val="28"/>
          <w:szCs w:val="28"/>
        </w:rPr>
        <w:t>报价</w:t>
      </w:r>
      <w:r>
        <w:rPr>
          <w:rFonts w:hint="eastAsia" w:ascii="宋体" w:hAnsi="宋体"/>
          <w:bCs/>
          <w:sz w:val="28"/>
          <w:szCs w:val="28"/>
        </w:rPr>
        <w:t>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报价供应商平均报价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30.3</w:t>
      </w:r>
      <w:r>
        <w:rPr>
          <w:rFonts w:hint="eastAsia" w:ascii="宋体" w:hAnsi="宋体"/>
          <w:bCs/>
          <w:sz w:val="28"/>
          <w:szCs w:val="28"/>
        </w:rPr>
        <w:t>报价供应商报价超过预算的，按照下列方式处理：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bookmarkStart w:id="259" w:name="_Hlk112533667"/>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报价</w:t>
      </w:r>
      <w:r>
        <w:rPr>
          <w:rFonts w:ascii="宋体" w:hAnsi="宋体"/>
          <w:bCs/>
          <w:sz w:val="28"/>
          <w:szCs w:val="28"/>
        </w:rPr>
        <w:t>均超</w:t>
      </w:r>
      <w:bookmarkStart w:id="260" w:name="_Hlk112511377"/>
      <w:r>
        <w:rPr>
          <w:rFonts w:ascii="宋体" w:hAnsi="宋体"/>
          <w:bCs/>
          <w:sz w:val="28"/>
          <w:szCs w:val="28"/>
        </w:rPr>
        <w:t>预算</w:t>
      </w:r>
      <w:bookmarkEnd w:id="260"/>
      <w:r>
        <w:rPr>
          <w:rFonts w:ascii="宋体" w:hAnsi="宋体"/>
          <w:bCs/>
          <w:sz w:val="28"/>
          <w:szCs w:val="28"/>
        </w:rPr>
        <w:t>的</w:t>
      </w:r>
      <w:bookmarkEnd w:id="259"/>
      <w:r>
        <w:rPr>
          <w:rFonts w:ascii="宋体" w:hAnsi="宋体"/>
          <w:bCs/>
          <w:sz w:val="28"/>
          <w:szCs w:val="28"/>
        </w:rPr>
        <w:t>，</w:t>
      </w:r>
      <w:r>
        <w:rPr>
          <w:rFonts w:hint="eastAsia" w:ascii="宋体" w:hAnsi="宋体"/>
          <w:bCs/>
          <w:sz w:val="28"/>
          <w:szCs w:val="28"/>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w:t>
      </w:r>
      <w:r>
        <w:rPr>
          <w:rFonts w:hint="eastAsia" w:ascii="宋体" w:hAnsi="宋体"/>
          <w:bCs/>
          <w:sz w:val="28"/>
          <w:szCs w:val="28"/>
        </w:rPr>
        <w:t>报价</w:t>
      </w:r>
      <w:r>
        <w:rPr>
          <w:rFonts w:ascii="宋体" w:hAnsi="宋体"/>
          <w:bCs/>
          <w:sz w:val="28"/>
          <w:szCs w:val="28"/>
        </w:rPr>
        <w:t>供应商</w:t>
      </w:r>
      <w:bookmarkStart w:id="261" w:name="_Hlk112693882"/>
      <w:r>
        <w:rPr>
          <w:rFonts w:hint="eastAsia" w:ascii="宋体" w:hAnsi="宋体"/>
          <w:bCs/>
          <w:sz w:val="28"/>
          <w:szCs w:val="28"/>
        </w:rPr>
        <w:t>报价</w:t>
      </w:r>
      <w:bookmarkEnd w:id="261"/>
      <w:r>
        <w:rPr>
          <w:rFonts w:ascii="宋体" w:hAnsi="宋体"/>
          <w:bCs/>
          <w:sz w:val="28"/>
          <w:szCs w:val="28"/>
        </w:rPr>
        <w:t>超预算的，应当继续评审。</w:t>
      </w:r>
      <w:r>
        <w:rPr>
          <w:rFonts w:hint="eastAsia" w:ascii="宋体" w:hAnsi="宋体"/>
          <w:bCs/>
          <w:sz w:val="28"/>
          <w:szCs w:val="28"/>
        </w:rPr>
        <w:t>评审后，预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未超预算的，评审结果有效</w:t>
      </w:r>
      <w:r>
        <w:rPr>
          <w:rFonts w:hint="eastAsia" w:ascii="宋体" w:hAnsi="宋体"/>
          <w:bCs/>
          <w:sz w:val="28"/>
          <w:szCs w:val="28"/>
        </w:rPr>
        <w:t>。预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确定成交供应商，</w:t>
      </w:r>
      <w:r>
        <w:rPr>
          <w:rFonts w:hint="eastAsia" w:ascii="宋体" w:hAnsi="宋体"/>
          <w:bCs/>
          <w:sz w:val="28"/>
          <w:szCs w:val="28"/>
        </w:rPr>
        <w:t>但剩余有效报价供应商数量应当达到需要递补报价供应商数量的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但最终报价</w:t>
      </w:r>
      <w:r>
        <w:rPr>
          <w:rFonts w:ascii="宋体" w:hAnsi="宋体"/>
          <w:bCs/>
          <w:sz w:val="28"/>
          <w:szCs w:val="28"/>
        </w:rPr>
        <w:t>总金额未超预算的，视为</w:t>
      </w:r>
      <w:r>
        <w:rPr>
          <w:rFonts w:hint="eastAsia" w:ascii="宋体" w:hAnsi="宋体"/>
          <w:bCs/>
          <w:sz w:val="28"/>
          <w:szCs w:val="28"/>
        </w:rPr>
        <w:t>采购项目未超预算</w:t>
      </w:r>
      <w:r>
        <w:rPr>
          <w:rFonts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31.复核评审</w:t>
      </w:r>
      <w:r>
        <w:rPr>
          <w:rFonts w:hint="eastAsia" w:ascii="黑体" w:hAnsi="黑体"/>
          <w:b w:val="0"/>
        </w:rPr>
        <w:t>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1.1</w:t>
      </w:r>
      <w:r>
        <w:rPr>
          <w:rFonts w:hint="eastAsia" w:ascii="宋体" w:hAnsi="宋体"/>
          <w:bCs/>
          <w:sz w:val="28"/>
          <w:szCs w:val="28"/>
        </w:rPr>
        <w:t>评审委员会</w:t>
      </w:r>
      <w:r>
        <w:rPr>
          <w:rFonts w:ascii="宋体" w:hAnsi="宋体"/>
          <w:bCs/>
          <w:sz w:val="28"/>
          <w:szCs w:val="28"/>
        </w:rPr>
        <w:t>对</w:t>
      </w:r>
      <w:r>
        <w:rPr>
          <w:rFonts w:hint="eastAsia" w:ascii="宋体" w:hAnsi="宋体"/>
          <w:bCs/>
          <w:sz w:val="28"/>
          <w:szCs w:val="28"/>
        </w:rPr>
        <w:t>符合性审查、商务技术评审和价格评审情况进行核对</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1.2</w:t>
      </w:r>
      <w:r>
        <w:rPr>
          <w:rFonts w:hint="eastAsia" w:ascii="宋体" w:hAnsi="宋体"/>
          <w:bCs/>
          <w:sz w:val="28"/>
          <w:szCs w:val="28"/>
        </w:rPr>
        <w:t>采购机构对评审委员会的评审结果进行复核，如有问题应当要求评审委员会现场书面说明并予以更正。</w:t>
      </w:r>
    </w:p>
    <w:p>
      <w:pPr>
        <w:pStyle w:val="6"/>
        <w:keepNext w:val="0"/>
        <w:keepLines w:val="0"/>
        <w:adjustRightInd w:val="0"/>
        <w:snapToGrid w:val="0"/>
        <w:spacing w:before="0" w:after="0" w:line="560" w:lineRule="exact"/>
        <w:ind w:firstLine="560"/>
        <w:rPr>
          <w:rFonts w:ascii="黑体" w:hAnsi="黑体"/>
          <w:b w:val="0"/>
        </w:rPr>
      </w:pPr>
      <w:bookmarkStart w:id="262" w:name="_Toc112879303"/>
      <w:bookmarkStart w:id="263" w:name="_Toc4551"/>
      <w:bookmarkStart w:id="264" w:name="_Toc24615"/>
      <w:bookmarkStart w:id="265" w:name="_Toc5872"/>
      <w:bookmarkStart w:id="266" w:name="_Toc19831"/>
      <w:bookmarkStart w:id="267" w:name="_Toc20579"/>
      <w:bookmarkStart w:id="268" w:name="_Toc19950"/>
      <w:r>
        <w:rPr>
          <w:rFonts w:ascii="黑体" w:hAnsi="黑体"/>
          <w:b w:val="0"/>
        </w:rPr>
        <w:t>32.</w:t>
      </w:r>
      <w:r>
        <w:rPr>
          <w:rFonts w:hint="eastAsia" w:ascii="黑体" w:hAnsi="黑体"/>
          <w:b w:val="0"/>
        </w:rPr>
        <w:t>推荐预成交供应商</w:t>
      </w:r>
      <w:bookmarkEnd w:id="262"/>
      <w:bookmarkEnd w:id="263"/>
      <w:bookmarkEnd w:id="264"/>
      <w:bookmarkEnd w:id="265"/>
      <w:bookmarkEnd w:id="266"/>
      <w:bookmarkEnd w:id="267"/>
      <w:bookmarkEnd w:id="268"/>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2.1评审委员会</w:t>
      </w:r>
      <w:r>
        <w:rPr>
          <w:rFonts w:hint="eastAsia" w:ascii="宋体" w:hAnsi="宋体"/>
          <w:bCs/>
          <w:sz w:val="28"/>
          <w:szCs w:val="28"/>
        </w:rPr>
        <w:t>将有效</w:t>
      </w:r>
      <w:r>
        <w:rPr>
          <w:rFonts w:ascii="宋体" w:hAnsi="宋体"/>
          <w:bCs/>
          <w:sz w:val="28"/>
          <w:szCs w:val="28"/>
        </w:rPr>
        <w:t>报价由低到高顺序排列</w:t>
      </w:r>
      <w:r>
        <w:rPr>
          <w:rFonts w:hint="eastAsia" w:ascii="宋体" w:hAnsi="宋体"/>
          <w:bCs/>
          <w:sz w:val="28"/>
          <w:szCs w:val="28"/>
        </w:rPr>
        <w:t>。</w:t>
      </w:r>
      <w:r>
        <w:rPr>
          <w:rFonts w:ascii="宋体" w:hAnsi="宋体"/>
          <w:bCs/>
          <w:sz w:val="28"/>
          <w:szCs w:val="28"/>
        </w:rPr>
        <w:t>最低报价的</w:t>
      </w:r>
      <w:r>
        <w:rPr>
          <w:rFonts w:hint="eastAsia" w:ascii="宋体" w:hAnsi="宋体"/>
          <w:bCs/>
          <w:sz w:val="28"/>
          <w:szCs w:val="28"/>
        </w:rPr>
        <w:t>报价</w:t>
      </w:r>
      <w:r>
        <w:rPr>
          <w:rFonts w:ascii="宋体" w:hAnsi="宋体"/>
          <w:bCs/>
          <w:sz w:val="28"/>
          <w:szCs w:val="28"/>
        </w:rPr>
        <w:t>供应商作为预</w:t>
      </w:r>
      <w:r>
        <w:rPr>
          <w:rFonts w:hint="eastAsia" w:ascii="宋体" w:hAnsi="宋体"/>
          <w:bCs/>
          <w:sz w:val="28"/>
          <w:szCs w:val="28"/>
        </w:rPr>
        <w:t>成交</w:t>
      </w:r>
      <w:r>
        <w:rPr>
          <w:rFonts w:ascii="宋体" w:hAnsi="宋体"/>
          <w:bCs/>
          <w:sz w:val="28"/>
          <w:szCs w:val="28"/>
        </w:rPr>
        <w:t>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w:t>
      </w:r>
      <w:r>
        <w:rPr>
          <w:rFonts w:hint="eastAsia" w:ascii="宋体" w:hAnsi="宋体"/>
          <w:bCs/>
          <w:sz w:val="28"/>
          <w:szCs w:val="28"/>
        </w:rPr>
        <w:t>成交</w:t>
      </w:r>
      <w:r>
        <w:rPr>
          <w:rFonts w:ascii="宋体" w:hAnsi="宋体"/>
          <w:bCs/>
          <w:sz w:val="28"/>
          <w:szCs w:val="28"/>
        </w:rPr>
        <w:t>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32</w:t>
      </w:r>
      <w:r>
        <w:rPr>
          <w:rFonts w:hint="eastAsia" w:ascii="宋体" w:hAnsi="宋体"/>
          <w:bCs/>
          <w:sz w:val="28"/>
          <w:szCs w:val="28"/>
        </w:rPr>
        <w:t>.</w:t>
      </w:r>
      <w:r>
        <w:rPr>
          <w:rFonts w:ascii="宋体" w:hAnsi="宋体"/>
          <w:bCs/>
          <w:sz w:val="28"/>
          <w:szCs w:val="28"/>
        </w:rPr>
        <w:t>2</w:t>
      </w:r>
      <w:r>
        <w:rPr>
          <w:rFonts w:hint="eastAsia" w:ascii="宋体" w:hAnsi="宋体"/>
          <w:bCs/>
          <w:sz w:val="28"/>
          <w:szCs w:val="28"/>
        </w:rPr>
        <w:t>成交供应商数量、价格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同一品种物资项目通常不得分包，但采购数量金额大或保障范围广，且1家供应商履约能力无法满足要求的，可以一包选取2家以上成交供应商，依据排名依次递减的原则确定承担任务数量或范围；也可以分成多包，每包确定1家供应商。采购机构应当在询价文件中载明成交供应商数量、承担任务的数量或范围。具体要求见询价公告。</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确定多家供应商成交的，报价供应商数量通常为成交数量的3倍以上；不足3倍但达到2倍的，按照本章第</w:t>
      </w:r>
      <w:r>
        <w:rPr>
          <w:rFonts w:ascii="宋体" w:hAnsi="宋体"/>
          <w:bCs/>
          <w:sz w:val="28"/>
          <w:szCs w:val="28"/>
        </w:rPr>
        <w:t>39.1</w:t>
      </w:r>
      <w:r>
        <w:rPr>
          <w:rFonts w:hint="eastAsia" w:ascii="宋体" w:hAnsi="宋体"/>
          <w:bCs/>
          <w:sz w:val="28"/>
          <w:szCs w:val="28"/>
        </w:rPr>
        <w:t>条规定执行；不足2倍的，重新组织采购。经评审符合要求的报价供应商数量通常为成交数量的2倍以上；不足2倍但达到1.5倍的，采购机构可以商采购单位相应减少成交数量，经采购单位书面确认后继续组织评审，否则重新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成交供应商可以执行各自报价，或按照下列方式处理：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（1）报价高于或等于第一名预成交供应商的，成交价格执行第一名预成交供应商报价，报价低于第一名成交供应商的，执行各自报价；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（2）预成交供应商不接受第一名预成交供应商报价的，视为放弃成交资格，其放弃的数量，按照评审排名，从第一名开始，依次商报价供应商承担。</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多家报价供应商成交价格确定方式应当唯一，具体方式见询价文件专用文件。</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33.</w:t>
      </w:r>
      <w:r>
        <w:rPr>
          <w:rFonts w:hint="eastAsia" w:ascii="黑体" w:hAnsi="黑体"/>
          <w:b w:val="0"/>
        </w:rPr>
        <w:t>出具评审报告</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33.1</w:t>
      </w:r>
      <w:r>
        <w:rPr>
          <w:rFonts w:hint="eastAsia" w:ascii="宋体" w:hAnsi="宋体"/>
          <w:bCs/>
          <w:sz w:val="28"/>
          <w:szCs w:val="28"/>
        </w:rPr>
        <w:t>评审委员会根据全体成员签字的原始评审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34.</w:t>
      </w:r>
      <w:r>
        <w:rPr>
          <w:rFonts w:hint="eastAsia" w:ascii="黑体" w:hAnsi="黑体"/>
          <w:b w:val="0"/>
        </w:rPr>
        <w:t>宣布评审结果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4.1</w:t>
      </w:r>
      <w:r>
        <w:rPr>
          <w:rFonts w:hint="eastAsia" w:ascii="宋体" w:hAnsi="宋体"/>
          <w:bCs/>
          <w:sz w:val="28"/>
          <w:szCs w:val="28"/>
        </w:rPr>
        <w:t>评审委员会组长应当当场向所有报价供应商宣布评审结果，包括报价供应商评审排名和报价，无效报价供应商名单和原因等。报价供应商有疑义的，评审委员会应当当场予以解答。</w:t>
      </w:r>
    </w:p>
    <w:p>
      <w:pPr>
        <w:pStyle w:val="6"/>
        <w:keepNext w:val="0"/>
        <w:keepLines w:val="0"/>
        <w:adjustRightInd w:val="0"/>
        <w:snapToGrid w:val="0"/>
        <w:spacing w:before="0" w:after="0" w:line="560" w:lineRule="exact"/>
        <w:ind w:firstLine="560"/>
        <w:rPr>
          <w:rFonts w:ascii="黑体" w:hAnsi="黑体"/>
          <w:b w:val="0"/>
        </w:rPr>
      </w:pPr>
      <w:bookmarkStart w:id="269" w:name="_Toc13135"/>
      <w:bookmarkStart w:id="270" w:name="_Toc24395"/>
      <w:bookmarkStart w:id="271" w:name="_Toc14440"/>
      <w:bookmarkStart w:id="272" w:name="_Toc31570"/>
      <w:bookmarkStart w:id="273" w:name="_Toc112879304"/>
      <w:bookmarkStart w:id="274" w:name="_Toc7477"/>
      <w:bookmarkStart w:id="275" w:name="_Toc27563"/>
      <w:r>
        <w:rPr>
          <w:rFonts w:ascii="黑体" w:hAnsi="黑体"/>
          <w:b w:val="0"/>
        </w:rPr>
        <w:t>35.</w:t>
      </w:r>
      <w:r>
        <w:rPr>
          <w:rFonts w:hint="eastAsia" w:ascii="黑体" w:hAnsi="黑体"/>
          <w:b w:val="0"/>
        </w:rPr>
        <w:t>无效报价</w:t>
      </w:r>
      <w:bookmarkEnd w:id="269"/>
      <w:bookmarkEnd w:id="270"/>
      <w:bookmarkEnd w:id="271"/>
      <w:bookmarkEnd w:id="272"/>
      <w:bookmarkEnd w:id="273"/>
      <w:bookmarkEnd w:id="274"/>
      <w:bookmarkEnd w:id="27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但符合本文件第3</w:t>
      </w:r>
      <w:r>
        <w:rPr>
          <w:rFonts w:ascii="宋体" w:hAnsi="宋体"/>
          <w:bCs/>
          <w:sz w:val="28"/>
          <w:szCs w:val="28"/>
        </w:rPr>
        <w:t>6</w:t>
      </w:r>
      <w:r>
        <w:rPr>
          <w:rFonts w:hint="eastAsia" w:ascii="宋体" w:hAnsi="宋体"/>
          <w:bCs/>
          <w:sz w:val="28"/>
          <w:szCs w:val="28"/>
        </w:rPr>
        <w:t>条规定的情形除外：</w:t>
      </w:r>
    </w:p>
    <w:p>
      <w:pPr>
        <w:adjustRightInd w:val="0"/>
        <w:snapToGrid w:val="0"/>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1）</w:t>
      </w:r>
      <w:r>
        <w:rPr>
          <w:rFonts w:hint="eastAsia" w:ascii="宋体" w:hAnsi="宋体"/>
          <w:bCs/>
          <w:kern w:val="0"/>
          <w:sz w:val="28"/>
          <w:szCs w:val="28"/>
        </w:rPr>
        <w:t>未按照询价文件要求密封的；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不具备询价文件中规定的资格性要求的；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属于禁止参加报价供应商的；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未按照规定交纳询价保证金的；</w:t>
      </w:r>
    </w:p>
    <w:p>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36条规定的情形除外：</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未按照询价文件要求签署、盖章的；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hint="eastAsia" w:ascii="仿宋_GB2312" w:hAnsi="仿宋" w:cs="仿宋"/>
          <w:bCs/>
          <w:sz w:val="28"/>
          <w:szCs w:val="28"/>
        </w:rPr>
        <w:t>有效期不符合询价文件要求的；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技术和商务的实质性条款不满足询价文件要求的；</w:t>
      </w:r>
    </w:p>
    <w:p>
      <w:pPr>
        <w:adjustRightInd w:val="0"/>
        <w:snapToGrid w:val="0"/>
        <w:spacing w:line="560" w:lineRule="exact"/>
        <w:ind w:left="560"/>
        <w:rPr>
          <w:rFonts w:ascii="仿宋_GB2312" w:hAnsi="仿宋" w:cs="仿宋"/>
          <w:bCs/>
          <w:sz w:val="28"/>
          <w:szCs w:val="28"/>
        </w:rPr>
      </w:pPr>
      <w:r>
        <w:rPr>
          <w:rFonts w:hint="eastAsia" w:ascii="仿宋_GB2312" w:hAnsi="仿宋" w:cs="仿宋"/>
          <w:bCs/>
          <w:sz w:val="28"/>
          <w:szCs w:val="28"/>
        </w:rPr>
        <w:t>（</w:t>
      </w:r>
      <w:r>
        <w:rPr>
          <w:rFonts w:ascii="宋体" w:hAnsi="宋体" w:cs="仿宋"/>
          <w:bCs/>
          <w:sz w:val="28"/>
          <w:szCs w:val="28"/>
        </w:rPr>
        <w:t>4</w:t>
      </w:r>
      <w:r>
        <w:rPr>
          <w:rFonts w:hint="eastAsia" w:ascii="宋体" w:hAnsi="宋体" w:cs="仿宋"/>
          <w:bCs/>
          <w:sz w:val="28"/>
          <w:szCs w:val="28"/>
        </w:rPr>
        <w:t>）其</w:t>
      </w:r>
      <w:r>
        <w:rPr>
          <w:rFonts w:hint="eastAsia" w:ascii="仿宋_GB2312" w:hAnsi="仿宋" w:cs="仿宋"/>
          <w:bCs/>
          <w:sz w:val="28"/>
          <w:szCs w:val="28"/>
        </w:rPr>
        <w:t>他不满足询价文件载明的符合性要求的。</w:t>
      </w:r>
    </w:p>
    <w:p>
      <w:pPr>
        <w:spacing w:line="580" w:lineRule="exact"/>
        <w:ind w:firstLine="560" w:firstLineChars="200"/>
        <w:rPr>
          <w:rFonts w:ascii="宋体" w:hAnsi="宋体"/>
          <w:sz w:val="28"/>
          <w:szCs w:val="28"/>
        </w:rPr>
      </w:pPr>
      <w:r>
        <w:rPr>
          <w:rFonts w:ascii="宋体" w:hAnsi="宋体"/>
          <w:bCs/>
          <w:sz w:val="28"/>
          <w:szCs w:val="28"/>
        </w:rPr>
        <w:t>35.3</w:t>
      </w:r>
      <w:r>
        <w:rPr>
          <w:rFonts w:hint="eastAsia" w:ascii="宋体" w:hAnsi="宋体"/>
          <w:sz w:val="28"/>
          <w:szCs w:val="28"/>
        </w:rPr>
        <w:t>有下列情形之一的，属于报价供应商相互串通报价，按照无效报价处理：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）报价供应商之间约定成交供应商的；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）报价供应商之间约定部分放弃报价或成交的；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）同一集团成员的报价供应商按照该集团要求协同报价的；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）报价供应商之间为谋取成交或排斥特定报价供应商而采取其他联合行动的；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35.4</w:t>
      </w:r>
      <w:r>
        <w:rPr>
          <w:rFonts w:hint="eastAsia" w:ascii="宋体" w:hAnsi="宋体"/>
          <w:sz w:val="28"/>
          <w:szCs w:val="28"/>
        </w:rPr>
        <w:t>有下列情形之一的，视为报价供应商相互串通报价，按照无效报价处理：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）不同报价供应商的报价文件由同一单位或个人编制的，以及报价使用同一加密锁或具有相同</w:t>
      </w:r>
      <w:r>
        <w:rPr>
          <w:rFonts w:ascii="宋体" w:hAnsi="宋体" w:cs="仿宋"/>
          <w:sz w:val="28"/>
          <w:szCs w:val="28"/>
        </w:rPr>
        <w:t>Mac地址的；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）不同报价供应商委托同一单位或个人办理报价事宜的；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）不同报价供应商的报价文件载明的项目管理成员为同一人的；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）不同报价供应商的报价文件异常一致或报价呈规律性差异的；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）不同报价供应商的报价文件混装、签章混用的；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）不同报价供应商的报价保证金从同一单位或个人的账户转出的；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35.5</w:t>
      </w:r>
      <w:r>
        <w:rPr>
          <w:rFonts w:hint="eastAsia" w:ascii="宋体" w:hAnsi="宋体"/>
          <w:sz w:val="28"/>
          <w:szCs w:val="28"/>
        </w:rPr>
        <w:t>有下列情形之一的，属于采购机构、采购单位与报价供应商串通报价，按照无效报价处理：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）在询价前开启报价文件并将有关信息泄露给其他报价供应商的；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）直接或间接向报价供应商泄露评审委员会成员信息的；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）明示或暗示报价供应商压低或抬高报价价格的；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）授意报价供应商撤换、修改报价文件的；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）明示或暗示报价供应商为特定报价供应商成交提供方便的；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）在报价前与报价供应商就采购项目进行实质性询价的；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）与报价供应商为谋求特定报价供应商成交而采取其他串通行为的；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35.6</w:t>
      </w:r>
      <w:r>
        <w:rPr>
          <w:rFonts w:hint="eastAsia" w:ascii="宋体" w:hAnsi="宋体"/>
          <w:sz w:val="28"/>
          <w:szCs w:val="28"/>
        </w:rPr>
        <w:t>有下列情形之一的，属于虚假报价，按照无效报价处理：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）提供虚假样品或借用、冒用其他报价供应商样品的；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仿宋_GB2312" w:hAnsi="仿宋"/>
          <w:szCs w:val="32"/>
        </w:rPr>
      </w:pPr>
      <w:r>
        <w:rPr>
          <w:rFonts w:ascii="宋体" w:hAnsi="宋体"/>
          <w:sz w:val="28"/>
          <w:szCs w:val="28"/>
        </w:rPr>
        <w:t>35.7</w:t>
      </w:r>
      <w:r>
        <w:rPr>
          <w:rFonts w:hint="eastAsia" w:ascii="宋体" w:hAnsi="宋体"/>
          <w:sz w:val="28"/>
          <w:szCs w:val="28"/>
        </w:rPr>
        <w:t>询价</w:t>
      </w:r>
      <w:r>
        <w:rPr>
          <w:rFonts w:hint="eastAsia" w:asciiTheme="minorEastAsia" w:hAnsiTheme="minorEastAsia" w:eastAsiaTheme="minorEastAsia"/>
          <w:sz w:val="28"/>
          <w:szCs w:val="28"/>
        </w:rPr>
        <w:t>文件中明确的其他应当视为无效报价的情形。</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36.</w:t>
      </w:r>
      <w:r>
        <w:rPr>
          <w:rFonts w:hint="eastAsia" w:ascii="黑体" w:hAnsi="黑体"/>
          <w:b w:val="0"/>
        </w:rPr>
        <w:t>通过资格性、符合性审查的特殊情形</w:t>
      </w:r>
    </w:p>
    <w:p>
      <w:pPr>
        <w:spacing w:line="560" w:lineRule="exact"/>
        <w:ind w:firstLine="560" w:firstLineChars="200"/>
        <w:rPr>
          <w:rFonts w:ascii="宋体" w:hAnsi="宋体"/>
          <w:sz w:val="28"/>
          <w:szCs w:val="28"/>
        </w:rPr>
      </w:pPr>
      <w:r>
        <w:rPr>
          <w:rFonts w:ascii="宋体" w:hAnsi="宋体"/>
          <w:sz w:val="28"/>
          <w:szCs w:val="28"/>
        </w:rPr>
        <w:t>36.1</w:t>
      </w:r>
      <w:r>
        <w:rPr>
          <w:rFonts w:hint="eastAsia" w:ascii="宋体" w:hAnsi="宋体"/>
          <w:sz w:val="28"/>
          <w:szCs w:val="28"/>
        </w:rPr>
        <w:t>报价文件有下列情形，但其他方面符合要求，应当认定通过资格性、符合性审查：</w:t>
      </w:r>
    </w:p>
    <w:p>
      <w:pPr>
        <w:spacing w:line="560" w:lineRule="exact"/>
        <w:ind w:firstLine="560" w:firstLineChars="200"/>
        <w:rPr>
          <w:rFonts w:ascii="宋体" w:hAnsi="宋体"/>
          <w:sz w:val="28"/>
          <w:szCs w:val="28"/>
        </w:rPr>
      </w:pPr>
      <w:r>
        <w:rPr>
          <w:rFonts w:hint="eastAsia" w:ascii="宋体" w:hAnsi="宋体"/>
          <w:sz w:val="28"/>
          <w:szCs w:val="28"/>
        </w:rPr>
        <w:t>（1）密封时未加盖、少加盖公章或密封章，但密封完好、完整标明了报价供应商名称且得到报价供应商现场认可的；</w:t>
      </w:r>
    </w:p>
    <w:p>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（2）正副本数量齐全、密封完好，但未按照询价文件要求进行分装或统装的；</w:t>
      </w:r>
    </w:p>
    <w:p>
      <w:pPr>
        <w:spacing w:line="560" w:lineRule="exact"/>
        <w:ind w:firstLine="560" w:firstLineChars="200"/>
        <w:rPr>
          <w:rFonts w:ascii="宋体" w:hAnsi="宋体"/>
          <w:sz w:val="28"/>
          <w:szCs w:val="28"/>
        </w:rPr>
      </w:pPr>
      <w:r>
        <w:rPr>
          <w:rFonts w:hint="eastAsia" w:ascii="宋体" w:hAnsi="宋体"/>
          <w:sz w:val="28"/>
          <w:szCs w:val="28"/>
        </w:rPr>
        <w:t>（3）除询价文件规定要求法定代表人或授权代表签字以外，其他未签字的；</w:t>
      </w:r>
    </w:p>
    <w:p>
      <w:pPr>
        <w:spacing w:line="560" w:lineRule="exact"/>
        <w:ind w:firstLine="560" w:firstLineChars="200"/>
        <w:rPr>
          <w:rFonts w:ascii="宋体" w:hAnsi="宋体"/>
          <w:sz w:val="28"/>
          <w:szCs w:val="28"/>
        </w:rPr>
      </w:pPr>
      <w:r>
        <w:rPr>
          <w:rFonts w:hint="eastAsia" w:ascii="宋体" w:hAnsi="宋体"/>
          <w:sz w:val="28"/>
          <w:szCs w:val="28"/>
        </w:rPr>
        <w:t>（4）除询价文件规定要求加盖报价供应商等公章以外，其他未盖章或加盖相关专用章的；</w:t>
      </w:r>
    </w:p>
    <w:p>
      <w:pPr>
        <w:spacing w:line="560" w:lineRule="exact"/>
        <w:ind w:firstLine="560" w:firstLineChars="200"/>
        <w:rPr>
          <w:rFonts w:ascii="宋体" w:hAnsi="宋体"/>
          <w:sz w:val="28"/>
          <w:szCs w:val="28"/>
        </w:rPr>
      </w:pPr>
      <w:r>
        <w:rPr>
          <w:rFonts w:hint="eastAsia" w:ascii="宋体" w:hAnsi="宋体"/>
          <w:sz w:val="28"/>
          <w:szCs w:val="28"/>
        </w:rPr>
        <w:t>（5）报价文件印刷装订不规范、书写有错误，资格证明文件与报价文件混装，报价文件未标明正副本但能分辨出报价文件主体的。</w:t>
      </w:r>
    </w:p>
    <w:p>
      <w:pPr>
        <w:spacing w:line="560" w:lineRule="exact"/>
        <w:ind w:firstLine="560" w:firstLineChars="200"/>
        <w:rPr>
          <w:rFonts w:ascii="宋体" w:hAnsi="宋体"/>
          <w:bCs/>
          <w:sz w:val="28"/>
          <w:szCs w:val="28"/>
        </w:rPr>
      </w:pPr>
      <w:r>
        <w:rPr>
          <w:rFonts w:hint="eastAsia" w:ascii="宋体" w:hAnsi="宋体"/>
          <w:sz w:val="28"/>
          <w:szCs w:val="28"/>
        </w:rPr>
        <w:t>评审委员会、采购机构不得将询价文件未明确的内容作为判定供应商无效报价的依据，但违反国家和</w:t>
      </w:r>
      <w:r>
        <w:rPr>
          <w:rFonts w:ascii="宋体" w:hAnsi="宋体"/>
          <w:sz w:val="28"/>
          <w:szCs w:val="28"/>
        </w:rPr>
        <w:t>军队</w:t>
      </w:r>
      <w:r>
        <w:rPr>
          <w:rFonts w:hint="eastAsia" w:ascii="宋体" w:hAnsi="宋体"/>
          <w:sz w:val="28"/>
          <w:szCs w:val="28"/>
        </w:rPr>
        <w:t>有关法律法规规定的情形除外。</w:t>
      </w:r>
    </w:p>
    <w:p>
      <w:pPr>
        <w:pStyle w:val="6"/>
        <w:keepNext w:val="0"/>
        <w:keepLines w:val="0"/>
        <w:adjustRightInd w:val="0"/>
        <w:snapToGrid w:val="0"/>
        <w:spacing w:before="0" w:after="0" w:line="560" w:lineRule="exact"/>
        <w:ind w:firstLine="560"/>
        <w:rPr>
          <w:rFonts w:ascii="黑体" w:hAnsi="黑体"/>
          <w:b w:val="0"/>
        </w:rPr>
      </w:pPr>
      <w:bookmarkStart w:id="276" w:name="_Toc11913"/>
      <w:bookmarkStart w:id="277" w:name="_Toc28011"/>
      <w:bookmarkStart w:id="278" w:name="_Toc112879308"/>
      <w:bookmarkStart w:id="279" w:name="_Toc834"/>
      <w:bookmarkStart w:id="280" w:name="_Toc27935"/>
      <w:bookmarkStart w:id="281" w:name="_Toc20429"/>
      <w:bookmarkStart w:id="282" w:name="_Toc2101"/>
      <w:r>
        <w:rPr>
          <w:rFonts w:ascii="黑体" w:hAnsi="黑体"/>
          <w:b w:val="0"/>
        </w:rPr>
        <w:t>37.</w:t>
      </w:r>
      <w:bookmarkStart w:id="283" w:name="_Hlk112696928"/>
      <w:r>
        <w:rPr>
          <w:rFonts w:hint="eastAsia" w:ascii="黑体" w:hAnsi="黑体"/>
          <w:b w:val="0"/>
        </w:rPr>
        <w:t>终止询价采购活动</w:t>
      </w:r>
      <w:bookmarkEnd w:id="276"/>
      <w:bookmarkEnd w:id="277"/>
      <w:bookmarkEnd w:id="278"/>
      <w:bookmarkEnd w:id="279"/>
      <w:bookmarkEnd w:id="280"/>
      <w:bookmarkEnd w:id="281"/>
      <w:bookmarkEnd w:id="282"/>
      <w:bookmarkEnd w:id="283"/>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37.1有下列情形之一的，</w:t>
      </w:r>
      <w:r>
        <w:rPr>
          <w:rFonts w:hint="eastAsia" w:ascii="宋体" w:hAnsi="宋体"/>
          <w:bCs/>
          <w:sz w:val="28"/>
          <w:szCs w:val="28"/>
        </w:rPr>
        <w:t>应当终止询价采购活动</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（1）报名参加或实质性响应报价供应商不足3家的，符合本章第</w:t>
      </w:r>
      <w:r>
        <w:rPr>
          <w:rFonts w:ascii="宋体" w:hAnsi="宋体"/>
          <w:bCs/>
          <w:sz w:val="28"/>
          <w:szCs w:val="28"/>
        </w:rPr>
        <w:t>39.1</w:t>
      </w:r>
      <w:r>
        <w:rPr>
          <w:rFonts w:hint="eastAsia" w:ascii="宋体" w:hAnsi="宋体"/>
          <w:bCs/>
          <w:sz w:val="28"/>
          <w:szCs w:val="28"/>
        </w:rPr>
        <w:t>条情形的除外；</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出现影响采购公平公正的违法、违规行为的；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w:t>
      </w:r>
      <w:r>
        <w:rPr>
          <w:rFonts w:ascii="宋体" w:hAnsi="宋体"/>
          <w:bCs/>
          <w:sz w:val="28"/>
          <w:szCs w:val="28"/>
        </w:rPr>
        <w:t>因重大变故，取消采购任务的</w:t>
      </w:r>
      <w:r>
        <w:rPr>
          <w:rFonts w:hint="eastAsia" w:ascii="宋体" w:hAnsi="宋体"/>
          <w:bCs/>
          <w:sz w:val="28"/>
          <w:szCs w:val="28"/>
        </w:rPr>
        <w:t>。</w:t>
      </w:r>
      <w:bookmarkStart w:id="284" w:name="_Toc28683"/>
      <w:bookmarkStart w:id="285" w:name="_Toc121216120"/>
      <w:bookmarkStart w:id="286" w:name="_Toc15536"/>
      <w:bookmarkStart w:id="287" w:name="_Toc21189"/>
      <w:bookmarkStart w:id="288" w:name="_Toc29718"/>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38.</w:t>
      </w:r>
      <w:r>
        <w:rPr>
          <w:rFonts w:hint="eastAsia" w:ascii="黑体" w:hAnsi="黑体"/>
          <w:b w:val="0"/>
        </w:rPr>
        <w:t>终止评审</w:t>
      </w:r>
      <w:bookmarkEnd w:id="284"/>
      <w:bookmarkEnd w:id="285"/>
      <w:bookmarkEnd w:id="286"/>
      <w:bookmarkEnd w:id="287"/>
      <w:bookmarkEnd w:id="28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38.1</w:t>
      </w:r>
      <w:r>
        <w:rPr>
          <w:rFonts w:hint="eastAsia" w:ascii="仿宋_GB2312" w:hAnsi="仿宋"/>
          <w:bCs/>
          <w:sz w:val="28"/>
          <w:szCs w:val="28"/>
        </w:rPr>
        <w:t>在评审过程中，有下列情形之一的，评审委员会应当终止评审，并书面说明情况：</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询价文件存在重大歧义、缺陷，导致评审工作无法进行的；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询价文件存在明显的倾向性、排他性或歧视性的；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询价文件违反国家和军队强制性规定的；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参加报价供应商均不符合相关要求的；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报价供应商报价均超预算，且采购单位无法追加预算的；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有关报价供应商和个人干预评审委员会依法独立评审的；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p>
      <w:pPr>
        <w:pStyle w:val="6"/>
        <w:keepNext w:val="0"/>
        <w:keepLines w:val="0"/>
        <w:adjustRightInd w:val="0"/>
        <w:snapToGrid w:val="0"/>
        <w:spacing w:before="0" w:after="0" w:line="560" w:lineRule="exact"/>
        <w:ind w:firstLine="560"/>
        <w:rPr>
          <w:rFonts w:ascii="黑体" w:hAnsi="黑体"/>
          <w:b w:val="0"/>
        </w:rPr>
      </w:pPr>
      <w:bookmarkStart w:id="289" w:name="_Toc112768420"/>
      <w:bookmarkStart w:id="290" w:name="_Toc5728"/>
      <w:bookmarkStart w:id="291" w:name="_Toc24729"/>
      <w:bookmarkStart w:id="292" w:name="_Toc27475"/>
      <w:bookmarkStart w:id="293" w:name="_Toc18007"/>
      <w:bookmarkStart w:id="294" w:name="_Toc28933"/>
      <w:bookmarkStart w:id="295" w:name="_Toc28022"/>
      <w:r>
        <w:rPr>
          <w:rFonts w:ascii="黑体" w:hAnsi="黑体"/>
          <w:b w:val="0"/>
        </w:rPr>
        <w:t>39.</w:t>
      </w:r>
      <w:bookmarkStart w:id="296" w:name="_Hlk112698157"/>
      <w:r>
        <w:rPr>
          <w:rFonts w:hint="eastAsia" w:ascii="黑体" w:hAnsi="黑体"/>
          <w:b w:val="0"/>
        </w:rPr>
        <w:t>特殊情形的</w:t>
      </w:r>
      <w:bookmarkEnd w:id="296"/>
      <w:r>
        <w:rPr>
          <w:rFonts w:hint="eastAsia" w:ascii="黑体" w:hAnsi="黑体"/>
          <w:b w:val="0"/>
        </w:rPr>
        <w:t>处理规定</w:t>
      </w:r>
      <w:bookmarkEnd w:id="289"/>
      <w:bookmarkEnd w:id="290"/>
      <w:bookmarkEnd w:id="291"/>
      <w:bookmarkEnd w:id="292"/>
      <w:bookmarkEnd w:id="293"/>
      <w:bookmarkEnd w:id="294"/>
      <w:bookmarkEnd w:id="29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39.1</w:t>
      </w:r>
      <w:r>
        <w:rPr>
          <w:rFonts w:hint="eastAsia" w:ascii="宋体" w:hAnsi="宋体"/>
          <w:bCs/>
          <w:sz w:val="28"/>
          <w:szCs w:val="28"/>
        </w:rPr>
        <w:t>报价供应商或通过资格性、符合性审查的报价供应商只有</w:t>
      </w:r>
      <w:r>
        <w:rPr>
          <w:rFonts w:ascii="宋体" w:hAnsi="宋体"/>
          <w:bCs/>
          <w:sz w:val="28"/>
          <w:szCs w:val="28"/>
        </w:rPr>
        <w:t>2家且预算500万元以下项目，或重新组织采购仍只有2家</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响应的项目，评审委员会认为询价文件无倾向性或排他性条款，供应商选择程序合规的，由采购机构报上级采购管理部门批准，并经采购单位同意后，按照原评审方法和评审标准继续组织评审。</w:t>
      </w:r>
    </w:p>
    <w:p>
      <w:pPr>
        <w:adjustRightInd w:val="0"/>
        <w:snapToGrid w:val="0"/>
        <w:spacing w:line="560" w:lineRule="exact"/>
        <w:ind w:firstLine="560" w:firstLineChars="200"/>
        <w:rPr>
          <w:rFonts w:ascii="仿宋_GB2312" w:hAnsi="宋体" w:cs="宋体"/>
          <w:bCs/>
          <w:sz w:val="28"/>
          <w:szCs w:val="36"/>
        </w:rPr>
      </w:pPr>
      <w:r>
        <w:rPr>
          <w:rFonts w:hint="eastAsia" w:ascii="宋体" w:hAnsi="宋体"/>
          <w:bCs/>
          <w:sz w:val="28"/>
          <w:szCs w:val="28"/>
        </w:rPr>
        <w:t>3</w:t>
      </w:r>
      <w:r>
        <w:rPr>
          <w:rFonts w:ascii="宋体" w:hAnsi="宋体"/>
          <w:bCs/>
          <w:sz w:val="28"/>
          <w:szCs w:val="28"/>
        </w:rPr>
        <w:t>9.2</w:t>
      </w:r>
      <w:r>
        <w:rPr>
          <w:rFonts w:hint="eastAsia" w:asciiTheme="minorEastAsia" w:hAnsiTheme="minorEastAsia" w:eastAsiaTheme="minorEastAsia"/>
          <w:bCs/>
          <w:sz w:val="28"/>
          <w:szCs w:val="28"/>
        </w:rPr>
        <w:t>按照</w:t>
      </w:r>
      <w:r>
        <w:rPr>
          <w:rFonts w:asciiTheme="minorEastAsia" w:hAnsiTheme="minorEastAsia" w:eastAsiaTheme="minorEastAsia"/>
          <w:bCs/>
          <w:sz w:val="28"/>
          <w:szCs w:val="28"/>
        </w:rPr>
        <w:t>39.1</w:t>
      </w:r>
      <w:r>
        <w:rPr>
          <w:rFonts w:hint="eastAsia" w:asciiTheme="minorEastAsia" w:hAnsiTheme="minorEastAsia" w:eastAsiaTheme="minorEastAsia"/>
          <w:bCs/>
          <w:sz w:val="28"/>
          <w:szCs w:val="28"/>
        </w:rPr>
        <w:t>条</w:t>
      </w:r>
      <w:r>
        <w:rPr>
          <w:rFonts w:asciiTheme="minorEastAsia" w:hAnsiTheme="minorEastAsia" w:eastAsiaTheme="minorEastAsia"/>
          <w:bCs/>
          <w:sz w:val="28"/>
          <w:szCs w:val="28"/>
        </w:rPr>
        <w:t>程序组织的项目，评审委员会或采购机构认为存在价格虚高风险的，可以提出审价方式定价结算</w:t>
      </w:r>
      <w:r>
        <w:rPr>
          <w:rFonts w:hint="eastAsia" w:asciiTheme="minorEastAsia" w:hAnsiTheme="minorEastAsia" w:eastAsiaTheme="minorEastAsia"/>
          <w:bCs/>
          <w:sz w:val="28"/>
          <w:szCs w:val="28"/>
        </w:rPr>
        <w:t>。</w:t>
      </w:r>
    </w:p>
    <w:p>
      <w:pPr>
        <w:pStyle w:val="5"/>
        <w:keepNext w:val="0"/>
        <w:keepLines w:val="0"/>
        <w:adjustRightInd w:val="0"/>
        <w:snapToGrid w:val="0"/>
        <w:spacing w:before="120" w:beforeLines="50" w:after="120" w:afterLines="50" w:line="560" w:lineRule="exact"/>
        <w:jc w:val="center"/>
        <w:rPr>
          <w:b w:val="0"/>
        </w:rPr>
      </w:pPr>
      <w:bookmarkStart w:id="297" w:name="_Toc112317773"/>
      <w:bookmarkStart w:id="298" w:name="_Toc15806"/>
      <w:bookmarkStart w:id="299" w:name="_Toc10644"/>
      <w:bookmarkStart w:id="300" w:name="_Toc12472"/>
      <w:bookmarkStart w:id="301" w:name="_Toc17260"/>
      <w:bookmarkStart w:id="302" w:name="_Toc112879313"/>
      <w:bookmarkStart w:id="303" w:name="_Toc150422476"/>
      <w:bookmarkStart w:id="304" w:name="_Toc2469"/>
      <w:bookmarkStart w:id="305" w:name="_Toc150422530"/>
      <w:bookmarkStart w:id="306" w:name="_Toc132636806"/>
      <w:bookmarkStart w:id="307" w:name="_Toc23357"/>
      <w:r>
        <w:rPr>
          <w:rFonts w:hint="eastAsia"/>
          <w:b w:val="0"/>
        </w:rPr>
        <w:t>六、</w:t>
      </w:r>
      <w:bookmarkEnd w:id="297"/>
      <w:r>
        <w:rPr>
          <w:rFonts w:hint="eastAsia"/>
          <w:b w:val="0"/>
        </w:rPr>
        <w:t>成交</w:t>
      </w:r>
      <w:bookmarkEnd w:id="298"/>
      <w:bookmarkEnd w:id="299"/>
      <w:bookmarkEnd w:id="300"/>
      <w:bookmarkEnd w:id="301"/>
      <w:bookmarkEnd w:id="302"/>
      <w:bookmarkEnd w:id="303"/>
      <w:bookmarkEnd w:id="304"/>
      <w:bookmarkEnd w:id="305"/>
      <w:bookmarkEnd w:id="306"/>
      <w:bookmarkEnd w:id="307"/>
    </w:p>
    <w:p>
      <w:pPr>
        <w:pStyle w:val="6"/>
        <w:keepNext w:val="0"/>
        <w:keepLines w:val="0"/>
        <w:adjustRightInd w:val="0"/>
        <w:snapToGrid w:val="0"/>
        <w:spacing w:before="0" w:after="0" w:line="560" w:lineRule="exact"/>
        <w:ind w:firstLine="560"/>
        <w:rPr>
          <w:rFonts w:ascii="黑体" w:hAnsi="黑体"/>
          <w:b w:val="0"/>
        </w:rPr>
      </w:pPr>
      <w:bookmarkStart w:id="308" w:name="_Toc16850"/>
      <w:bookmarkStart w:id="309" w:name="_Toc32347"/>
      <w:bookmarkStart w:id="310" w:name="_Toc22992"/>
      <w:bookmarkStart w:id="311" w:name="_Toc28033"/>
      <w:bookmarkStart w:id="312" w:name="_Toc20218"/>
      <w:bookmarkStart w:id="313" w:name="_Toc112879314"/>
      <w:bookmarkStart w:id="314" w:name="_Toc10069"/>
      <w:r>
        <w:rPr>
          <w:rFonts w:ascii="黑体" w:hAnsi="黑体"/>
          <w:b w:val="0"/>
        </w:rPr>
        <w:t>40.</w:t>
      </w:r>
      <w:r>
        <w:rPr>
          <w:rFonts w:hint="eastAsia" w:ascii="黑体" w:hAnsi="黑体"/>
          <w:b w:val="0"/>
        </w:rPr>
        <w:t>成交供应商公示</w:t>
      </w:r>
      <w:bookmarkEnd w:id="308"/>
      <w:bookmarkEnd w:id="309"/>
      <w:bookmarkEnd w:id="310"/>
      <w:bookmarkEnd w:id="311"/>
      <w:bookmarkEnd w:id="312"/>
      <w:bookmarkEnd w:id="313"/>
      <w:bookmarkEnd w:id="314"/>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40.1评审结束后2个工作日内，采购机构在军队采购网（</w:t>
      </w:r>
      <w:r>
        <w:rPr>
          <w:rFonts w:hint="eastAsia" w:ascii="宋体" w:hAnsi="宋体"/>
          <w:bCs/>
          <w:sz w:val="28"/>
          <w:szCs w:val="28"/>
        </w:rPr>
        <w:t>www.plap.mil.cn</w:t>
      </w:r>
      <w:r>
        <w:rPr>
          <w:rFonts w:ascii="宋体" w:hAnsi="宋体"/>
          <w:bCs/>
          <w:sz w:val="28"/>
          <w:szCs w:val="28"/>
        </w:rPr>
        <w:t>）上公示评审结果，公示期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采购机构将评审结果报采购单位；有异议的，报价供应商可以依据询价文件规定的方式提出质疑。</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40.2</w:t>
      </w:r>
      <w:r>
        <w:rPr>
          <w:rFonts w:hint="eastAsia" w:ascii="宋体" w:hAnsi="宋体"/>
          <w:bCs/>
          <w:sz w:val="28"/>
          <w:szCs w:val="28"/>
        </w:rPr>
        <w:t>成交</w:t>
      </w:r>
      <w:r>
        <w:rPr>
          <w:rFonts w:ascii="宋体" w:hAnsi="宋体"/>
          <w:bCs/>
          <w:sz w:val="28"/>
          <w:szCs w:val="28"/>
        </w:rPr>
        <w:t>供应商无正当理由放弃成交的，不予退还询价保证金，</w:t>
      </w:r>
      <w:r>
        <w:rPr>
          <w:rFonts w:hint="eastAsia" w:ascii="宋体" w:hAnsi="宋体"/>
          <w:bCs/>
          <w:sz w:val="28"/>
          <w:szCs w:val="28"/>
        </w:rPr>
        <w:t>由采购管理部门依规处理。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40.3成交供应商出现下列情况之一的，一经查实，将被取消成交资格：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 xml:space="preserve">（1）属于询价文件规定的虚假报价的； </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（2）向采购单位、采购机构、评审委员会成员行贿或进行其他不正当利益输送的；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（3）属于恶意低价竞争，报价明显低于合理成本且不能证明其报价合理的；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（4）属于询价文件规定的无效报价情形，但在评审过程中未被评审委员会发现的；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（5）属于询价文件规定的串通报价的；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（6）出现干扰或影响评审客观公正行为的；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（7）存在其他违法违规行为的；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（8）国家和军队法律法规规定的其他情形。</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在签订正式合同前，受到禁止参加军队采购活动处罚且本项目在处罚范围内的，取消成交资格。成交供应商被取消或放弃成交资格的，采购单位可以按照评审排序结果依次递补确定成交供应商，但剩余有效报价供应商数量应当达到需要递补报价供应商数量的2倍，否则由采购机构重新组织采购。</w:t>
      </w:r>
    </w:p>
    <w:p>
      <w:pPr>
        <w:pStyle w:val="6"/>
        <w:keepNext w:val="0"/>
        <w:keepLines w:val="0"/>
        <w:adjustRightInd w:val="0"/>
        <w:snapToGrid w:val="0"/>
        <w:spacing w:before="0" w:after="0" w:line="560" w:lineRule="exact"/>
        <w:ind w:firstLine="560"/>
        <w:rPr>
          <w:rFonts w:ascii="黑体" w:hAnsi="黑体"/>
          <w:b w:val="0"/>
        </w:rPr>
      </w:pPr>
      <w:bookmarkStart w:id="315" w:name="_Toc11730"/>
      <w:bookmarkStart w:id="316" w:name="_Toc16274"/>
      <w:bookmarkStart w:id="317" w:name="_Toc112879315"/>
      <w:bookmarkStart w:id="318" w:name="_Toc4498"/>
      <w:bookmarkStart w:id="319" w:name="_Toc12405"/>
      <w:bookmarkStart w:id="320" w:name="_Toc2578"/>
      <w:bookmarkStart w:id="321" w:name="_Toc13604"/>
      <w:r>
        <w:rPr>
          <w:rFonts w:ascii="黑体" w:hAnsi="黑体"/>
          <w:b w:val="0"/>
        </w:rPr>
        <w:t>41.</w:t>
      </w:r>
      <w:r>
        <w:rPr>
          <w:rFonts w:hint="eastAsia" w:ascii="黑体" w:hAnsi="黑体"/>
          <w:b w:val="0"/>
        </w:rPr>
        <w:t>成交通知</w:t>
      </w:r>
      <w:bookmarkEnd w:id="315"/>
      <w:bookmarkEnd w:id="316"/>
      <w:bookmarkEnd w:id="317"/>
      <w:bookmarkEnd w:id="318"/>
      <w:bookmarkEnd w:id="319"/>
      <w:bookmarkEnd w:id="320"/>
      <w:bookmarkEnd w:id="321"/>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评审</w:t>
      </w:r>
      <w:r>
        <w:rPr>
          <w:rFonts w:ascii="宋体" w:hAnsi="宋体"/>
          <w:bCs/>
          <w:sz w:val="28"/>
          <w:szCs w:val="28"/>
        </w:rPr>
        <w:t>结果公示无异议后2个工作日内，采购机构以书面形式向成交供应商发出《成交通知书》，同时向未成交供应商发出《未成交通知书》。</w:t>
      </w:r>
    </w:p>
    <w:p>
      <w:pPr>
        <w:pStyle w:val="5"/>
        <w:keepNext w:val="0"/>
        <w:keepLines w:val="0"/>
        <w:adjustRightInd w:val="0"/>
        <w:snapToGrid w:val="0"/>
        <w:spacing w:before="120" w:beforeLines="50" w:after="120" w:afterLines="50" w:line="560" w:lineRule="exact"/>
        <w:jc w:val="center"/>
        <w:rPr>
          <w:b w:val="0"/>
        </w:rPr>
      </w:pPr>
      <w:bookmarkStart w:id="322" w:name="_Toc150422477"/>
      <w:bookmarkStart w:id="323" w:name="_Toc132636807"/>
      <w:bookmarkStart w:id="324" w:name="_Toc150422531"/>
      <w:bookmarkStart w:id="325" w:name="_Toc17216"/>
      <w:bookmarkStart w:id="326" w:name="_Toc2402"/>
      <w:bookmarkStart w:id="327" w:name="_Toc5420"/>
      <w:bookmarkStart w:id="328" w:name="_Toc13486"/>
      <w:bookmarkStart w:id="329" w:name="_Toc22184"/>
      <w:bookmarkStart w:id="330" w:name="_Toc21020"/>
      <w:bookmarkStart w:id="331" w:name="_Toc112317774"/>
      <w:bookmarkStart w:id="332" w:name="_Toc112879316"/>
      <w:r>
        <w:rPr>
          <w:rFonts w:hint="eastAsia"/>
          <w:b w:val="0"/>
        </w:rPr>
        <w:t>七、质疑、投诉和投诉复议</w:t>
      </w:r>
      <w:bookmarkEnd w:id="322"/>
      <w:bookmarkEnd w:id="323"/>
      <w:bookmarkEnd w:id="324"/>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42.</w:t>
      </w:r>
      <w:r>
        <w:rPr>
          <w:rFonts w:hint="eastAsia" w:ascii="黑体" w:hAnsi="黑体"/>
          <w:b w:val="0"/>
        </w:rPr>
        <w:t>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42.1供应商认为</w:t>
      </w:r>
      <w:r>
        <w:rPr>
          <w:rFonts w:hint="eastAsia" w:ascii="宋体" w:hAnsi="宋体"/>
          <w:bCs/>
          <w:sz w:val="28"/>
          <w:szCs w:val="28"/>
        </w:rPr>
        <w:t>询价文件、询价过程、成交结果使自己权益受到损害的，以书面形式向采购机构提出质疑。供应商应当在规定质疑期内一次性提出针对同一采购程序环节的质疑。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（1）领取资格预审文件的供应商，对资格预审文件的质疑应当在提交资格预审申请文件截止时间2日前提出。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领取询价文件的供应商，</w:t>
      </w:r>
      <w:r>
        <w:rPr>
          <w:rFonts w:ascii="宋体" w:hAnsi="宋体"/>
          <w:bCs/>
          <w:sz w:val="28"/>
          <w:szCs w:val="28"/>
        </w:rPr>
        <w:t>对询价文件的质疑</w:t>
      </w:r>
      <w:r>
        <w:rPr>
          <w:rFonts w:hint="eastAsia" w:ascii="宋体" w:hAnsi="宋体"/>
          <w:bCs/>
          <w:sz w:val="28"/>
          <w:szCs w:val="28"/>
        </w:rPr>
        <w:t>应当</w:t>
      </w:r>
      <w:r>
        <w:rPr>
          <w:rFonts w:ascii="宋体" w:hAnsi="宋体"/>
          <w:bCs/>
          <w:sz w:val="28"/>
          <w:szCs w:val="28"/>
        </w:rPr>
        <w:t>在</w:t>
      </w:r>
      <w:r>
        <w:rPr>
          <w:rFonts w:hint="eastAsia" w:ascii="宋体" w:hAnsi="宋体"/>
          <w:bCs/>
          <w:sz w:val="28"/>
          <w:szCs w:val="28"/>
        </w:rPr>
        <w:t>申领询价文件之日起</w:t>
      </w:r>
      <w:r>
        <w:rPr>
          <w:rFonts w:ascii="宋体" w:hAnsi="宋体"/>
          <w:bCs/>
          <w:sz w:val="28"/>
          <w:szCs w:val="28"/>
        </w:rPr>
        <w:t>3个工作日内</w:t>
      </w:r>
      <w:r>
        <w:rPr>
          <w:rFonts w:hint="eastAsia" w:ascii="宋体" w:hAnsi="宋体"/>
          <w:bCs/>
          <w:sz w:val="28"/>
          <w:szCs w:val="28"/>
        </w:rPr>
        <w:t>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报价供应商</w:t>
      </w:r>
      <w:r>
        <w:rPr>
          <w:rFonts w:ascii="宋体" w:hAnsi="宋体"/>
          <w:bCs/>
          <w:sz w:val="28"/>
          <w:szCs w:val="28"/>
        </w:rPr>
        <w:t>对询价过程提出质疑的，应当在询价结束之日起3日内提出。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报价供应商</w:t>
      </w:r>
      <w:r>
        <w:rPr>
          <w:rFonts w:ascii="宋体" w:hAnsi="宋体"/>
          <w:bCs/>
          <w:sz w:val="28"/>
          <w:szCs w:val="28"/>
        </w:rPr>
        <w:t>对成交结果提出质疑的，应当在成交结果公示期内提出。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报价</w:t>
      </w:r>
      <w:r>
        <w:rPr>
          <w:rFonts w:ascii="宋体" w:hAnsi="宋体"/>
          <w:bCs/>
          <w:sz w:val="28"/>
          <w:szCs w:val="28"/>
        </w:rPr>
        <w:t>供应商应当按照</w:t>
      </w:r>
      <w:r>
        <w:rPr>
          <w:rFonts w:hint="eastAsia" w:ascii="宋体" w:hAnsi="宋体"/>
          <w:bCs/>
          <w:sz w:val="28"/>
          <w:szCs w:val="28"/>
        </w:rPr>
        <w:t>询价文件</w:t>
      </w:r>
      <w:r>
        <w:rPr>
          <w:rFonts w:ascii="宋体" w:hAnsi="宋体"/>
          <w:bCs/>
          <w:sz w:val="28"/>
          <w:szCs w:val="28"/>
        </w:rPr>
        <w:t>规定的程序和渠道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供应商名称、通讯地址、联系人及联系电话；</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）质疑采购项目的名称、编号；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）具体质疑事项和请求；</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w:t>
      </w:r>
      <w:r>
        <w:rPr>
          <w:rFonts w:ascii="宋体" w:hAnsi="宋体"/>
          <w:bCs/>
          <w:sz w:val="28"/>
          <w:szCs w:val="28"/>
        </w:rPr>
        <w:t>）事实依据；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w:t>
      </w:r>
      <w:r>
        <w:rPr>
          <w:rFonts w:ascii="宋体" w:hAnsi="宋体"/>
          <w:bCs/>
          <w:sz w:val="28"/>
          <w:szCs w:val="28"/>
        </w:rPr>
        <w:t>）法律依据；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w:t>
      </w:r>
      <w:r>
        <w:rPr>
          <w:rFonts w:ascii="宋体" w:hAnsi="宋体"/>
          <w:bCs/>
          <w:sz w:val="28"/>
          <w:szCs w:val="28"/>
        </w:rPr>
        <w:t>）提出质疑的日期。</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42.3质疑</w:t>
      </w:r>
      <w:r>
        <w:rPr>
          <w:rFonts w:hint="eastAsia" w:ascii="宋体" w:hAnsi="宋体"/>
          <w:bCs/>
          <w:sz w:val="28"/>
          <w:szCs w:val="28"/>
        </w:rPr>
        <w:t>函应当由法定代表人或其授权代表签字，并加盖单位公章。授权代表应当提供由法定代表人签署的授权书，载明被授权人的姓名、职务、授权范围和时间期限，并加盖公章。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42.4</w:t>
      </w:r>
      <w:r>
        <w:rPr>
          <w:rFonts w:hint="eastAsia" w:ascii="宋体" w:hAnsi="宋体"/>
          <w:bCs/>
          <w:sz w:val="28"/>
          <w:szCs w:val="28"/>
        </w:rPr>
        <w:t>质疑受理单位及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43.</w:t>
      </w:r>
      <w:r>
        <w:rPr>
          <w:rFonts w:hint="eastAsia" w:ascii="黑体" w:hAnsi="黑体"/>
          <w:b w:val="0"/>
        </w:rPr>
        <w:t>投诉</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43.1质疑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w:t>
      </w:r>
      <w:r>
        <w:rPr>
          <w:rFonts w:ascii="宋体" w:hAnsi="宋体"/>
          <w:bCs/>
          <w:sz w:val="28"/>
          <w:szCs w:val="28"/>
        </w:rPr>
        <w:t>出答复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w:t>
      </w:r>
      <w:r>
        <w:rPr>
          <w:rFonts w:hint="eastAsia" w:ascii="宋体" w:hAnsi="宋体"/>
          <w:bCs/>
          <w:sz w:val="28"/>
          <w:szCs w:val="28"/>
        </w:rPr>
        <w:t>向投诉受理部门提出书面投诉</w:t>
      </w:r>
      <w:r>
        <w:rPr>
          <w:rFonts w:ascii="宋体" w:hAnsi="宋体"/>
          <w:bCs/>
          <w:sz w:val="28"/>
          <w:szCs w:val="28"/>
        </w:rPr>
        <w:t>。</w:t>
      </w:r>
    </w:p>
    <w:p>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43.2</w:t>
      </w:r>
      <w:r>
        <w:rPr>
          <w:rFonts w:hint="eastAsia" w:ascii="仿宋_GB2312" w:hAnsi="宋体" w:cs="宋体"/>
          <w:bCs/>
          <w:sz w:val="28"/>
          <w:szCs w:val="36"/>
        </w:rPr>
        <w:t>投诉人投诉时</w:t>
      </w:r>
      <w:r>
        <w:rPr>
          <w:rFonts w:hint="eastAsia" w:ascii="宋体" w:hAnsi="宋体"/>
          <w:bCs/>
          <w:sz w:val="28"/>
          <w:szCs w:val="28"/>
        </w:rPr>
        <w:t>，</w:t>
      </w:r>
      <w:r>
        <w:rPr>
          <w:rFonts w:ascii="仿宋_GB2312" w:hAnsi="宋体" w:cs="宋体"/>
          <w:bCs/>
          <w:sz w:val="28"/>
          <w:szCs w:val="36"/>
        </w:rPr>
        <w:t>应当提交投诉书正本和必要的证明材料，并按照被投诉人和与投诉事项有关的供应商数量提供投诉书副本。投诉书应当包括下列内容：</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1）</w:t>
      </w:r>
      <w:r>
        <w:rPr>
          <w:rFonts w:hint="eastAsia" w:hAnsi="宋体" w:cs="宋体"/>
          <w:bCs/>
          <w:sz w:val="28"/>
          <w:szCs w:val="36"/>
        </w:rPr>
        <w:t>投诉人和被投诉人的名称、通讯地址、邮编、联系人及联系电话；</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（2</w:t>
      </w:r>
      <w:r>
        <w:rPr>
          <w:rFonts w:hAnsi="宋体"/>
          <w:bCs/>
          <w:sz w:val="28"/>
          <w:szCs w:val="28"/>
        </w:rPr>
        <w:t>）</w:t>
      </w:r>
      <w:r>
        <w:rPr>
          <w:rFonts w:hint="eastAsia" w:hAnsi="宋体" w:cs="宋体"/>
          <w:bCs/>
          <w:sz w:val="28"/>
          <w:szCs w:val="36"/>
        </w:rPr>
        <w:t>质疑和质疑答复情况说明及相关证明材料；</w:t>
      </w:r>
    </w:p>
    <w:p>
      <w:pPr>
        <w:pStyle w:val="7"/>
        <w:adjustRightInd w:val="0"/>
        <w:snapToGrid w:val="0"/>
        <w:spacing w:line="560" w:lineRule="exact"/>
        <w:ind w:firstLine="560" w:firstLineChars="200"/>
        <w:rPr>
          <w:rFonts w:hAnsi="宋体" w:cs="宋体"/>
          <w:bCs/>
          <w:sz w:val="28"/>
          <w:szCs w:val="36"/>
        </w:rPr>
      </w:pPr>
      <w:r>
        <w:rPr>
          <w:rFonts w:hint="eastAsia" w:hAnsi="宋体" w:cs="宋体"/>
          <w:bCs/>
          <w:sz w:val="28"/>
          <w:szCs w:val="36"/>
        </w:rPr>
        <w:t>（3</w:t>
      </w:r>
      <w:r>
        <w:rPr>
          <w:rFonts w:hAnsi="宋体" w:cs="宋体"/>
          <w:bCs/>
          <w:sz w:val="28"/>
          <w:szCs w:val="36"/>
        </w:rPr>
        <w:t>）</w:t>
      </w:r>
      <w:r>
        <w:rPr>
          <w:rFonts w:hint="eastAsia" w:hAnsi="宋体" w:cs="宋体"/>
          <w:bCs/>
          <w:sz w:val="28"/>
          <w:szCs w:val="36"/>
        </w:rPr>
        <w:t>具体、明确的投诉事项和与投诉事项相关的投诉请求；</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（4</w:t>
      </w:r>
      <w:r>
        <w:rPr>
          <w:rFonts w:hAnsi="宋体"/>
          <w:bCs/>
          <w:sz w:val="28"/>
          <w:szCs w:val="28"/>
        </w:rPr>
        <w:t>）</w:t>
      </w:r>
      <w:r>
        <w:rPr>
          <w:rFonts w:hint="eastAsia" w:hAnsi="宋体" w:cs="宋体"/>
          <w:bCs/>
          <w:sz w:val="28"/>
          <w:szCs w:val="36"/>
        </w:rPr>
        <w:t>事实依据；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（5</w:t>
      </w:r>
      <w:r>
        <w:rPr>
          <w:rFonts w:hAnsi="宋体"/>
          <w:bCs/>
          <w:sz w:val="28"/>
          <w:szCs w:val="28"/>
        </w:rPr>
        <w:t>）</w:t>
      </w:r>
      <w:r>
        <w:rPr>
          <w:rFonts w:hint="eastAsia" w:hAnsi="宋体" w:cs="宋体"/>
          <w:bCs/>
          <w:sz w:val="28"/>
          <w:szCs w:val="36"/>
        </w:rPr>
        <w:t>法律依据；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（6</w:t>
      </w:r>
      <w:r>
        <w:rPr>
          <w:rFonts w:hAnsi="宋体"/>
          <w:bCs/>
          <w:sz w:val="28"/>
          <w:szCs w:val="28"/>
        </w:rPr>
        <w:t>）</w:t>
      </w:r>
      <w:r>
        <w:rPr>
          <w:rFonts w:hint="eastAsia" w:hAnsi="宋体" w:cs="宋体"/>
          <w:bCs/>
          <w:sz w:val="28"/>
          <w:szCs w:val="36"/>
        </w:rPr>
        <w:t>提起投诉的日期。</w:t>
      </w:r>
    </w:p>
    <w:p>
      <w:pPr>
        <w:pStyle w:val="7"/>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43.3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43.4受理、处理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44.</w:t>
      </w:r>
      <w:r>
        <w:rPr>
          <w:rFonts w:hint="eastAsia" w:ascii="黑体" w:hAnsi="黑体"/>
          <w:b w:val="0"/>
        </w:rPr>
        <w:t>投诉复议</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44.1</w:t>
      </w:r>
      <w:r>
        <w:rPr>
          <w:rFonts w:hint="eastAsia" w:cs="宋体" w:asciiTheme="minorEastAsia" w:hAnsiTheme="minorEastAsia" w:eastAsiaTheme="minorEastAsia"/>
          <w:bCs/>
          <w:sz w:val="28"/>
          <w:szCs w:val="36"/>
        </w:rPr>
        <w:t>投诉人对投诉受理部门的投诉处理决定不服或投诉受理部门逾期未作处理的，可以自收到投诉处理决定书15个工作日内，提出投诉复议申请。</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44.2投诉复议申请人应当提交投诉复议申请书和必要的证明材料，并按照被申请人和与复议事项有关当事人数量提供申请书副本。投诉复议申请书应当包括下列内容：</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1）</w:t>
      </w:r>
      <w:r>
        <w:rPr>
          <w:rFonts w:hint="eastAsia" w:ascii="Times New Roman" w:hAnsi="Times New Roman"/>
          <w:bCs/>
          <w:kern w:val="0"/>
          <w:sz w:val="28"/>
          <w:szCs w:val="36"/>
        </w:rPr>
        <w:t>申请人和被申请人名称、通讯地址、联系人、联系电话；</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（2</w:t>
      </w:r>
      <w:r>
        <w:rPr>
          <w:rFonts w:hAnsi="宋体"/>
          <w:bCs/>
          <w:sz w:val="28"/>
          <w:szCs w:val="28"/>
        </w:rPr>
        <w:t>）</w:t>
      </w:r>
      <w:r>
        <w:rPr>
          <w:rFonts w:hint="eastAsia" w:ascii="Times New Roman" w:hAnsi="Times New Roman"/>
          <w:bCs/>
          <w:kern w:val="0"/>
          <w:sz w:val="28"/>
          <w:szCs w:val="36"/>
        </w:rPr>
        <w:t>投诉和投诉处理决定情况说明及相关证明材料；</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（3</w:t>
      </w:r>
      <w:r>
        <w:rPr>
          <w:rFonts w:hAnsi="宋体"/>
          <w:bCs/>
          <w:sz w:val="28"/>
          <w:szCs w:val="28"/>
        </w:rPr>
        <w:t>）</w:t>
      </w:r>
      <w:r>
        <w:rPr>
          <w:rFonts w:hint="eastAsia" w:ascii="Times New Roman" w:hAnsi="Times New Roman"/>
          <w:bCs/>
          <w:kern w:val="0"/>
          <w:sz w:val="28"/>
          <w:szCs w:val="36"/>
        </w:rPr>
        <w:t>具体、明确的复议事项和与复议事项相关的请求；</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（4</w:t>
      </w:r>
      <w:r>
        <w:rPr>
          <w:rFonts w:hAnsi="宋体"/>
          <w:bCs/>
          <w:sz w:val="28"/>
          <w:szCs w:val="28"/>
        </w:rPr>
        <w:t>）</w:t>
      </w:r>
      <w:r>
        <w:rPr>
          <w:rFonts w:hint="eastAsia" w:hAnsi="宋体"/>
          <w:bCs/>
          <w:sz w:val="28"/>
          <w:szCs w:val="28"/>
        </w:rPr>
        <w:t>事实依据；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5</w:t>
      </w:r>
      <w:r>
        <w:rPr>
          <w:rFonts w:hint="eastAsia" w:hAnsi="宋体"/>
          <w:bCs/>
          <w:sz w:val="28"/>
          <w:szCs w:val="28"/>
        </w:rPr>
        <w:t>）法律依据；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6）</w:t>
      </w:r>
      <w:r>
        <w:rPr>
          <w:rFonts w:hint="eastAsia" w:hAnsi="宋体"/>
          <w:bCs/>
          <w:sz w:val="28"/>
          <w:szCs w:val="28"/>
        </w:rPr>
        <w:t>申请投诉复议的日期。</w:t>
      </w:r>
    </w:p>
    <w:p>
      <w:pPr>
        <w:pStyle w:val="7"/>
        <w:adjustRightInd w:val="0"/>
        <w:snapToGrid w:val="0"/>
        <w:spacing w:line="560" w:lineRule="exact"/>
        <w:ind w:firstLine="560" w:firstLineChars="200"/>
        <w:rPr>
          <w:rFonts w:hAnsi="宋体"/>
          <w:bCs/>
          <w:sz w:val="28"/>
          <w:szCs w:val="28"/>
        </w:rPr>
      </w:pPr>
      <w:r>
        <w:rPr>
          <w:rFonts w:hAnsi="宋体"/>
          <w:bCs/>
          <w:sz w:val="28"/>
          <w:szCs w:val="28"/>
        </w:rPr>
        <w:t>44.3</w:t>
      </w:r>
      <w:r>
        <w:rPr>
          <w:rFonts w:hint="eastAsia" w:hAnsi="宋体"/>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pPr>
        <w:pStyle w:val="7"/>
        <w:adjustRightInd w:val="0"/>
        <w:snapToGrid w:val="0"/>
        <w:spacing w:line="560" w:lineRule="exact"/>
        <w:ind w:firstLine="560" w:firstLineChars="200"/>
        <w:rPr>
          <w:rFonts w:hAnsi="宋体"/>
          <w:sz w:val="28"/>
          <w:szCs w:val="28"/>
        </w:rPr>
      </w:pPr>
      <w:r>
        <w:rPr>
          <w:rFonts w:hAnsi="宋体"/>
          <w:bCs/>
          <w:sz w:val="28"/>
          <w:szCs w:val="28"/>
        </w:rPr>
        <w:t>44.4</w:t>
      </w:r>
      <w:r>
        <w:rPr>
          <w:rFonts w:hint="eastAsia" w:hAnsi="宋体"/>
          <w:bCs/>
          <w:sz w:val="28"/>
          <w:szCs w:val="28"/>
        </w:rPr>
        <w:t>受理、处理投诉复议申请部门及联系方式见【</w:t>
      </w:r>
      <w:r>
        <w:rPr>
          <w:rFonts w:hint="eastAsia" w:asciiTheme="minorEastAsia" w:hAnsiTheme="minorEastAsia" w:eastAsiaTheme="minorEastAsia"/>
          <w:bCs/>
          <w:sz w:val="28"/>
          <w:szCs w:val="28"/>
        </w:rPr>
        <w:t>报价供应商</w:t>
      </w:r>
      <w:r>
        <w:rPr>
          <w:rFonts w:hint="eastAsia" w:hAnsi="宋体"/>
          <w:bCs/>
          <w:sz w:val="28"/>
          <w:szCs w:val="28"/>
        </w:rPr>
        <w:t>须知前附表】。</w:t>
      </w:r>
    </w:p>
    <w:p>
      <w:pPr>
        <w:pStyle w:val="5"/>
        <w:keepNext w:val="0"/>
        <w:keepLines w:val="0"/>
        <w:adjustRightInd w:val="0"/>
        <w:snapToGrid w:val="0"/>
        <w:spacing w:before="120" w:beforeLines="50" w:after="120" w:afterLines="50" w:line="560" w:lineRule="exact"/>
        <w:jc w:val="center"/>
        <w:rPr>
          <w:b w:val="0"/>
        </w:rPr>
      </w:pPr>
      <w:bookmarkStart w:id="333" w:name="_Toc132636808"/>
      <w:bookmarkStart w:id="334" w:name="_Toc150422532"/>
      <w:bookmarkStart w:id="335" w:name="_Toc150422478"/>
      <w:r>
        <w:rPr>
          <w:rFonts w:hint="eastAsia"/>
          <w:b w:val="0"/>
        </w:rPr>
        <w:t>八、签订合同</w:t>
      </w:r>
      <w:bookmarkEnd w:id="325"/>
      <w:bookmarkEnd w:id="326"/>
      <w:bookmarkEnd w:id="327"/>
      <w:bookmarkEnd w:id="328"/>
      <w:bookmarkEnd w:id="329"/>
      <w:bookmarkEnd w:id="330"/>
      <w:bookmarkEnd w:id="331"/>
      <w:bookmarkEnd w:id="332"/>
      <w:bookmarkEnd w:id="333"/>
      <w:bookmarkEnd w:id="334"/>
      <w:bookmarkEnd w:id="335"/>
    </w:p>
    <w:p>
      <w:pPr>
        <w:pStyle w:val="6"/>
        <w:keepNext w:val="0"/>
        <w:keepLines w:val="0"/>
        <w:adjustRightInd w:val="0"/>
        <w:snapToGrid w:val="0"/>
        <w:spacing w:before="0" w:after="0" w:line="560" w:lineRule="exact"/>
        <w:ind w:firstLine="560"/>
        <w:rPr>
          <w:rFonts w:ascii="黑体" w:hAnsi="黑体"/>
          <w:b w:val="0"/>
        </w:rPr>
      </w:pPr>
      <w:bookmarkStart w:id="336" w:name="_Toc9907"/>
      <w:bookmarkStart w:id="337" w:name="_Toc31182"/>
      <w:bookmarkStart w:id="338" w:name="_Toc23561"/>
      <w:bookmarkStart w:id="339" w:name="_Toc112879317"/>
      <w:bookmarkStart w:id="340" w:name="_Toc6587"/>
      <w:bookmarkStart w:id="341" w:name="_Toc1306"/>
      <w:bookmarkStart w:id="342" w:name="_Toc15168"/>
      <w:r>
        <w:rPr>
          <w:rFonts w:ascii="黑体" w:hAnsi="黑体"/>
          <w:b w:val="0"/>
        </w:rPr>
        <w:t>45.</w:t>
      </w:r>
      <w:r>
        <w:rPr>
          <w:rFonts w:hint="eastAsia" w:ascii="黑体" w:hAnsi="黑体"/>
          <w:b w:val="0"/>
        </w:rPr>
        <w:t>签订合同</w:t>
      </w:r>
      <w:bookmarkEnd w:id="336"/>
      <w:bookmarkEnd w:id="337"/>
      <w:bookmarkEnd w:id="338"/>
      <w:bookmarkEnd w:id="339"/>
      <w:bookmarkEnd w:id="340"/>
      <w:bookmarkEnd w:id="341"/>
      <w:bookmarkEnd w:id="342"/>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45.1成交供应商在采购机构发出《成交通知书》之日起30日内，</w:t>
      </w:r>
      <w:r>
        <w:rPr>
          <w:rFonts w:hint="eastAsia" w:ascii="宋体" w:hAnsi="宋体"/>
          <w:bCs/>
          <w:sz w:val="28"/>
          <w:szCs w:val="28"/>
        </w:rPr>
        <w:t>依据询价文件、成交供应商报价文件和澄清承诺，与采购单位签订采购合同</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45.2采购合同不得对询价文件和成交供应商报价文件作实质性修改</w:t>
      </w:r>
      <w:r>
        <w:rPr>
          <w:rFonts w:hint="eastAsia" w:ascii="宋体" w:hAnsi="宋体"/>
          <w:bCs/>
          <w:sz w:val="28"/>
          <w:szCs w:val="28"/>
        </w:rPr>
        <w:t>，采购单位不得向成交供应商提出任何不合理要求，作为签订合同的条件。</w:t>
      </w:r>
      <w:r>
        <w:rPr>
          <w:rFonts w:ascii="宋体" w:hAnsi="宋体"/>
          <w:bCs/>
          <w:sz w:val="28"/>
          <w:szCs w:val="28"/>
        </w:rPr>
        <w:t>询价文件、成交供应商报价文件、补充</w:t>
      </w:r>
      <w:r>
        <w:rPr>
          <w:rFonts w:hint="eastAsia" w:ascii="宋体" w:hAnsi="宋体"/>
          <w:bCs/>
          <w:sz w:val="28"/>
          <w:szCs w:val="28"/>
        </w:rPr>
        <w:t>文件、</w:t>
      </w:r>
      <w:r>
        <w:rPr>
          <w:rFonts w:ascii="宋体" w:hAnsi="宋体"/>
          <w:bCs/>
          <w:sz w:val="28"/>
          <w:szCs w:val="28"/>
        </w:rPr>
        <w:t>澄清承诺等，均为签订合同的依据。</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45.3签订合同后，</w:t>
      </w:r>
      <w:r>
        <w:rPr>
          <w:rFonts w:hint="eastAsia" w:ascii="宋体" w:hAnsi="宋体"/>
          <w:bCs/>
          <w:sz w:val="28"/>
          <w:szCs w:val="28"/>
        </w:rPr>
        <w:t>成交供应商不得将成交项目整体转包或将项目拆分后分别向他人转包，不得违反询价文件、报价文件和合同约定，擅自将合同分包，一经查实将按有关规定进行严肃处理</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45.4未经甲方允许，乙方不得在合同未生效前履行合同相关义务。</w:t>
      </w:r>
    </w:p>
    <w:p>
      <w:pPr>
        <w:pStyle w:val="5"/>
        <w:keepNext w:val="0"/>
        <w:keepLines w:val="0"/>
        <w:adjustRightInd w:val="0"/>
        <w:snapToGrid w:val="0"/>
        <w:spacing w:before="120" w:beforeLines="50" w:after="120" w:afterLines="50" w:line="560" w:lineRule="exact"/>
        <w:jc w:val="center"/>
        <w:rPr>
          <w:b w:val="0"/>
        </w:rPr>
      </w:pPr>
      <w:bookmarkStart w:id="343" w:name="_Toc18245"/>
      <w:bookmarkStart w:id="344" w:name="_Toc112879318"/>
      <w:bookmarkStart w:id="345" w:name="_Toc132636809"/>
      <w:bookmarkStart w:id="346" w:name="_Toc150422479"/>
      <w:bookmarkStart w:id="347" w:name="_Toc151"/>
      <w:bookmarkStart w:id="348" w:name="_Toc150422533"/>
      <w:bookmarkStart w:id="349" w:name="_Toc112317776"/>
      <w:bookmarkStart w:id="350" w:name="_Toc18441"/>
      <w:bookmarkStart w:id="351" w:name="_Toc23740"/>
      <w:bookmarkStart w:id="352" w:name="_Toc30799"/>
      <w:bookmarkStart w:id="353" w:name="_Toc18009"/>
      <w:r>
        <w:rPr>
          <w:rFonts w:hint="eastAsia"/>
          <w:b w:val="0"/>
        </w:rPr>
        <w:t>九、解释权限</w:t>
      </w:r>
      <w:bookmarkEnd w:id="343"/>
      <w:bookmarkEnd w:id="344"/>
      <w:bookmarkEnd w:id="345"/>
      <w:bookmarkEnd w:id="346"/>
      <w:bookmarkEnd w:id="347"/>
      <w:bookmarkEnd w:id="348"/>
      <w:bookmarkEnd w:id="349"/>
      <w:bookmarkEnd w:id="350"/>
      <w:bookmarkEnd w:id="351"/>
      <w:bookmarkEnd w:id="352"/>
      <w:bookmarkEnd w:id="353"/>
    </w:p>
    <w:p>
      <w:pPr>
        <w:pStyle w:val="6"/>
        <w:keepNext w:val="0"/>
        <w:keepLines w:val="0"/>
        <w:adjustRightInd w:val="0"/>
        <w:snapToGrid w:val="0"/>
        <w:spacing w:before="0" w:after="0" w:line="560" w:lineRule="exact"/>
        <w:ind w:firstLine="560"/>
        <w:rPr>
          <w:rFonts w:ascii="黑体" w:hAnsi="黑体"/>
          <w:b w:val="0"/>
        </w:rPr>
      </w:pPr>
      <w:bookmarkStart w:id="354" w:name="_Toc21936"/>
      <w:bookmarkStart w:id="355" w:name="_Toc29019"/>
      <w:bookmarkStart w:id="356" w:name="_Toc15875"/>
      <w:bookmarkStart w:id="357" w:name="_Toc18855"/>
      <w:bookmarkStart w:id="358" w:name="_Toc416"/>
      <w:bookmarkStart w:id="359" w:name="_Toc112879319"/>
      <w:bookmarkStart w:id="360" w:name="_Toc16713"/>
      <w:r>
        <w:rPr>
          <w:rFonts w:ascii="黑体" w:hAnsi="黑体"/>
          <w:b w:val="0"/>
        </w:rPr>
        <w:t>46.</w:t>
      </w:r>
      <w:r>
        <w:rPr>
          <w:rFonts w:hint="eastAsia" w:ascii="黑体" w:hAnsi="黑体"/>
          <w:b w:val="0"/>
        </w:rPr>
        <w:t>解释权限</w:t>
      </w:r>
      <w:bookmarkEnd w:id="354"/>
      <w:bookmarkEnd w:id="355"/>
      <w:bookmarkEnd w:id="356"/>
      <w:bookmarkEnd w:id="357"/>
      <w:bookmarkEnd w:id="358"/>
      <w:bookmarkEnd w:id="359"/>
      <w:bookmarkEnd w:id="360"/>
    </w:p>
    <w:p>
      <w:pPr>
        <w:adjustRightInd w:val="0"/>
        <w:snapToGrid w:val="0"/>
        <w:spacing w:line="560" w:lineRule="exact"/>
        <w:ind w:firstLine="560" w:firstLineChars="200"/>
        <w:rPr>
          <w:rFonts w:eastAsia="黑体"/>
          <w:bCs/>
          <w:sz w:val="32"/>
          <w:szCs w:val="32"/>
        </w:rPr>
      </w:pPr>
      <w:r>
        <w:rPr>
          <w:rFonts w:ascii="宋体" w:hAnsi="宋体"/>
          <w:bCs/>
          <w:sz w:val="28"/>
          <w:szCs w:val="28"/>
        </w:rPr>
        <w:t>46.1</w:t>
      </w:r>
      <w:r>
        <w:rPr>
          <w:rFonts w:hint="eastAsia"/>
          <w:bCs/>
          <w:sz w:val="28"/>
          <w:szCs w:val="28"/>
        </w:rPr>
        <w:t>本询价文件由采购机构负责解释。</w:t>
      </w:r>
    </w:p>
    <w:p>
      <w:pPr>
        <w:pStyle w:val="5"/>
        <w:spacing w:before="120" w:beforeLines="50" w:after="120" w:afterLines="50" w:line="560" w:lineRule="exact"/>
        <w:rPr>
          <w:rFonts w:ascii="黑体" w:hAnsi="黑体" w:cs="黑体"/>
          <w:b w:val="0"/>
          <w:bCs w:val="0"/>
          <w:sz w:val="28"/>
          <w:szCs w:val="28"/>
        </w:rPr>
      </w:pPr>
      <w:r>
        <w:br w:type="page"/>
      </w:r>
      <w:bookmarkStart w:id="361" w:name="_Toc17424"/>
      <w:bookmarkStart w:id="362" w:name="_Toc11705"/>
      <w:bookmarkStart w:id="363" w:name="_Toc150422480"/>
      <w:bookmarkStart w:id="364" w:name="_Toc132636810"/>
      <w:bookmarkStart w:id="365" w:name="_Toc2614"/>
      <w:bookmarkStart w:id="366" w:name="_Toc150422534"/>
      <w:bookmarkStart w:id="367" w:name="_Toc28216"/>
      <w:r>
        <w:rPr>
          <w:rFonts w:hint="eastAsia" w:ascii="黑体" w:hAnsi="黑体" w:cs="黑体"/>
          <w:b w:val="0"/>
          <w:bCs w:val="0"/>
          <w:sz w:val="28"/>
          <w:szCs w:val="28"/>
        </w:rPr>
        <w:t>附页1 询价文件更正确认函</w:t>
      </w:r>
      <w:bookmarkEnd w:id="361"/>
      <w:bookmarkEnd w:id="362"/>
      <w:bookmarkEnd w:id="363"/>
      <w:bookmarkEnd w:id="364"/>
      <w:bookmarkEnd w:id="365"/>
      <w:bookmarkEnd w:id="366"/>
      <w:bookmarkEnd w:id="367"/>
    </w:p>
    <w:p>
      <w:pPr>
        <w:spacing w:before="120" w:beforeLines="50" w:after="120" w:afterLines="50" w:line="560" w:lineRule="exact"/>
        <w:jc w:val="center"/>
        <w:rPr>
          <w:rFonts w:ascii="宋体" w:hAnsi="宋体" w:cs="宋体"/>
          <w:bCs/>
          <w:sz w:val="28"/>
          <w:szCs w:val="28"/>
        </w:rPr>
      </w:pPr>
      <w:r>
        <w:rPr>
          <w:rFonts w:hint="eastAsia" w:ascii="黑体" w:hAnsi="黑体" w:eastAsia="黑体" w:cs="黑体"/>
          <w:bCs/>
          <w:sz w:val="36"/>
          <w:szCs w:val="36"/>
        </w:rPr>
        <w:t>询价文件更正确认函</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624"/>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）的询价文件更正信息已收悉。</w:t>
      </w: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报价供应商全称：（盖章）</w:t>
      </w: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 xml:space="preserve">法定代表人（或授权代表）：（签字）   </w:t>
      </w:r>
    </w:p>
    <w:p>
      <w:pPr>
        <w:spacing w:line="560" w:lineRule="exact"/>
        <w:ind w:firstLine="6580" w:firstLineChars="235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ind w:firstLine="624"/>
        <w:rPr>
          <w:rFonts w:ascii="宋体" w:hAnsi="宋体" w:cs="宋体"/>
          <w:bCs/>
          <w:sz w:val="28"/>
          <w:szCs w:val="28"/>
        </w:rPr>
      </w:pPr>
    </w:p>
    <w:p>
      <w:pPr>
        <w:pStyle w:val="5"/>
        <w:spacing w:before="120" w:beforeLines="50" w:after="120" w:afterLines="50" w:line="560" w:lineRule="exact"/>
        <w:rPr>
          <w:rFonts w:cs="宋体" w:asciiTheme="minorEastAsia" w:hAnsiTheme="minorEastAsia" w:eastAsiaTheme="minorEastAsia"/>
          <w:sz w:val="28"/>
          <w:szCs w:val="28"/>
        </w:rPr>
      </w:pPr>
      <w:r>
        <w:rPr>
          <w:b w:val="0"/>
        </w:rPr>
        <w:br w:type="page"/>
      </w:r>
      <w:bookmarkStart w:id="368" w:name="_Toc132636811"/>
      <w:bookmarkStart w:id="369" w:name="_Toc150422535"/>
      <w:bookmarkStart w:id="370" w:name="_Toc15835"/>
      <w:bookmarkStart w:id="371" w:name="_Toc3945"/>
      <w:bookmarkStart w:id="372" w:name="_Toc150422481"/>
      <w:bookmarkStart w:id="373" w:name="_Toc6878"/>
      <w:bookmarkStart w:id="374" w:name="_Toc18460"/>
      <w:bookmarkStart w:id="375" w:name="_Toc9618"/>
      <w:bookmarkStart w:id="376" w:name="_Toc23299"/>
      <w:bookmarkStart w:id="377" w:name="_Toc26693"/>
      <w:bookmarkStart w:id="378" w:name="_Toc112768435"/>
      <w:r>
        <w:rPr>
          <w:rFonts w:hint="eastAsia" w:ascii="黑体" w:hAnsi="黑体" w:cs="黑体"/>
          <w:b w:val="0"/>
          <w:bCs w:val="0"/>
          <w:sz w:val="28"/>
          <w:szCs w:val="28"/>
        </w:rPr>
        <w:t>附页2 质疑函（格式）</w:t>
      </w:r>
      <w:bookmarkEnd w:id="368"/>
      <w:bookmarkEnd w:id="369"/>
      <w:bookmarkEnd w:id="370"/>
      <w:bookmarkEnd w:id="371"/>
      <w:bookmarkEnd w:id="372"/>
      <w:bookmarkEnd w:id="373"/>
      <w:bookmarkEnd w:id="374"/>
    </w:p>
    <w:p>
      <w:pPr>
        <w:spacing w:line="560" w:lineRule="exact"/>
        <w:jc w:val="center"/>
        <w:rPr>
          <w:rFonts w:ascii="黑体" w:hAnsi="黑体" w:eastAsia="黑体" w:cs="黑体"/>
          <w:sz w:val="36"/>
          <w:szCs w:val="36"/>
        </w:rPr>
      </w:pPr>
      <w:r>
        <w:rPr>
          <w:rFonts w:hint="eastAsia" w:ascii="黑体" w:hAnsi="黑体" w:eastAsia="黑体" w:cs="黑体"/>
          <w:sz w:val="36"/>
          <w:szCs w:val="36"/>
        </w:rPr>
        <w:t>质  疑  函</w:t>
      </w:r>
    </w:p>
    <w:p>
      <w:pPr>
        <w:spacing w:line="560" w:lineRule="exact"/>
        <w:ind w:firstLine="560" w:firstLineChars="200"/>
        <w:rPr>
          <w:rFonts w:ascii="宋体" w:hAnsi="宋体"/>
          <w:kern w:val="0"/>
          <w:sz w:val="28"/>
          <w:szCs w:val="28"/>
        </w:rPr>
      </w:pPr>
      <w:r>
        <w:rPr>
          <w:rFonts w:hint="eastAsia" w:ascii="宋体" w:hAnsi="宋体"/>
          <w:kern w:val="0"/>
          <w:sz w:val="28"/>
          <w:szCs w:val="28"/>
        </w:rPr>
        <w:t>质疑供应商名称：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r>
        <w:rPr>
          <w:rFonts w:ascii="宋体" w:hAnsi="宋体"/>
          <w:kern w:val="0"/>
          <w:sz w:val="28"/>
          <w:szCs w:val="28"/>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），我单位现就以下问题提出质疑：</w:t>
      </w:r>
    </w:p>
    <w:p>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w:t>
      </w: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3164" w:firstLineChars="113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质疑供应商名称：（盖章）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snapToGrid w:val="0"/>
          <w:sz w:val="28"/>
          <w:szCs w:val="28"/>
          <w:lang w:val="zh-CN"/>
        </w:rPr>
        <w:t>法定代表人（或授权代表）：（签字）</w:t>
      </w:r>
    </w:p>
    <w:p>
      <w:pPr>
        <w:spacing w:line="560" w:lineRule="exact"/>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r>
        <w:rPr>
          <w:rFonts w:hint="eastAsia" w:ascii="宋体" w:hAnsi="宋体" w:cs="宋体"/>
          <w:sz w:val="28"/>
          <w:szCs w:val="28"/>
        </w:rPr>
        <w:t xml:space="preserve"> </w:t>
      </w:r>
    </w:p>
    <w:bookmarkEnd w:id="375"/>
    <w:bookmarkEnd w:id="376"/>
    <w:bookmarkEnd w:id="377"/>
    <w:bookmarkEnd w:id="378"/>
    <w:p>
      <w:pPr>
        <w:pStyle w:val="5"/>
        <w:spacing w:before="120" w:beforeLines="50" w:after="120" w:afterLines="50" w:line="560" w:lineRule="exact"/>
        <w:rPr>
          <w:rFonts w:cs="宋体" w:asciiTheme="minorEastAsia" w:hAnsiTheme="minorEastAsia" w:eastAsiaTheme="minorEastAsia"/>
          <w:sz w:val="28"/>
          <w:szCs w:val="28"/>
        </w:rPr>
      </w:pPr>
      <w:r>
        <w:rPr>
          <w:b w:val="0"/>
        </w:rPr>
        <w:br w:type="page"/>
      </w:r>
      <w:bookmarkStart w:id="379" w:name="_Toc5103"/>
      <w:bookmarkStart w:id="380" w:name="_Toc28425"/>
      <w:bookmarkStart w:id="381" w:name="_Toc150422536"/>
      <w:bookmarkStart w:id="382" w:name="_Toc132636812"/>
      <w:bookmarkStart w:id="383" w:name="_Toc32638"/>
      <w:bookmarkStart w:id="384" w:name="_Toc9615"/>
      <w:bookmarkStart w:id="385" w:name="_Toc6068"/>
      <w:bookmarkStart w:id="386" w:name="_Toc150422482"/>
      <w:bookmarkStart w:id="387" w:name="_Toc9689"/>
      <w:bookmarkStart w:id="388" w:name="_Toc19368"/>
      <w:bookmarkStart w:id="389" w:name="_Toc9085"/>
      <w:bookmarkStart w:id="390" w:name="_Toc112768436"/>
      <w:bookmarkStart w:id="391" w:name="_Toc10021"/>
      <w:r>
        <w:rPr>
          <w:rFonts w:hint="eastAsia" w:ascii="黑体" w:hAnsi="黑体" w:cs="黑体"/>
          <w:b w:val="0"/>
          <w:bCs w:val="0"/>
          <w:sz w:val="28"/>
          <w:szCs w:val="28"/>
        </w:rPr>
        <w:t>附页3 投诉书（格式）</w:t>
      </w:r>
      <w:bookmarkEnd w:id="379"/>
      <w:bookmarkEnd w:id="380"/>
      <w:bookmarkEnd w:id="381"/>
      <w:bookmarkEnd w:id="382"/>
      <w:bookmarkEnd w:id="383"/>
      <w:bookmarkEnd w:id="384"/>
      <w:bookmarkEnd w:id="385"/>
      <w:bookmarkEnd w:id="386"/>
      <w:bookmarkEnd w:id="387"/>
    </w:p>
    <w:p>
      <w:pPr>
        <w:jc w:val="right"/>
        <w:rPr>
          <w:rFonts w:ascii="黑体" w:eastAsia="黑体" w:cs="宋体"/>
          <w:sz w:val="36"/>
          <w:szCs w:val="36"/>
        </w:rPr>
      </w:pPr>
      <w:r>
        <w:rPr>
          <w:rFonts w:hint="eastAsia" w:ascii="黑体" w:eastAsia="黑体" w:cs="宋体"/>
          <w:sz w:val="32"/>
          <w:szCs w:val="32"/>
        </w:rPr>
        <w:t>正</w:t>
      </w:r>
      <w:r>
        <w:rPr>
          <w:rFonts w:ascii="黑体" w:eastAsia="黑体" w:cs="宋体"/>
          <w:sz w:val="32"/>
          <w:szCs w:val="32"/>
        </w:rPr>
        <w:t xml:space="preserve">  </w:t>
      </w:r>
      <w:r>
        <w:rPr>
          <w:rFonts w:hint="eastAsia" w:ascii="黑体" w:eastAsia="黑体" w:cs="宋体"/>
          <w:sz w:val="32"/>
          <w:szCs w:val="32"/>
        </w:rPr>
        <w:t>本</w:t>
      </w:r>
    </w:p>
    <w:p>
      <w:pPr>
        <w:spacing w:line="560" w:lineRule="exact"/>
        <w:jc w:val="center"/>
        <w:rPr>
          <w:rFonts w:ascii="黑体" w:hAnsi="黑体" w:eastAsia="黑体" w:cs="黑体"/>
          <w:sz w:val="36"/>
          <w:szCs w:val="36"/>
        </w:rPr>
      </w:pPr>
      <w:r>
        <w:rPr>
          <w:rFonts w:hint="eastAsia" w:ascii="黑体" w:hAnsi="黑体" w:eastAsia="黑体" w:cs="黑体"/>
          <w:sz w:val="36"/>
          <w:szCs w:val="36"/>
        </w:rPr>
        <w:t>投  诉  书</w:t>
      </w:r>
    </w:p>
    <w:p>
      <w:pPr>
        <w:spacing w:line="560" w:lineRule="exact"/>
        <w:ind w:firstLine="560" w:firstLineChars="200"/>
        <w:rPr>
          <w:rFonts w:ascii="宋体" w:hAnsi="宋体"/>
          <w:kern w:val="0"/>
          <w:sz w:val="28"/>
          <w:szCs w:val="28"/>
        </w:rPr>
      </w:pPr>
      <w:r>
        <w:rPr>
          <w:rFonts w:hint="eastAsia" w:ascii="宋体" w:hAnsi="宋体"/>
          <w:kern w:val="0"/>
          <w:sz w:val="28"/>
          <w:szCs w:val="28"/>
        </w:rPr>
        <w:t>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被投诉人名称：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联系人：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），我单位现就以下问题提起投诉：</w:t>
      </w:r>
    </w:p>
    <w:p>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pPr>
        <w:spacing w:line="560" w:lineRule="exact"/>
        <w:ind w:firstLine="560" w:firstLineChars="200"/>
        <w:rPr>
          <w:rFonts w:ascii="宋体" w:hAnsi="宋体"/>
          <w:kern w:val="0"/>
          <w:sz w:val="28"/>
          <w:szCs w:val="28"/>
        </w:rPr>
      </w:pPr>
      <w:r>
        <w:rPr>
          <w:rFonts w:ascii="宋体" w:hAnsi="宋体"/>
          <w:kern w:val="0"/>
          <w:sz w:val="28"/>
          <w:szCs w:val="28"/>
        </w:rPr>
        <w:t>……</w:t>
      </w:r>
    </w:p>
    <w:p>
      <w:pPr>
        <w:spacing w:line="560" w:lineRule="exact"/>
        <w:ind w:firstLine="3136" w:firstLineChars="112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投诉人名称：（盖章）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snapToGrid w:val="0"/>
          <w:sz w:val="28"/>
          <w:szCs w:val="28"/>
          <w:lang w:val="zh-CN"/>
        </w:rPr>
        <w:t>法定代表人（或授权代表）：（签字）</w:t>
      </w:r>
    </w:p>
    <w:p>
      <w:pPr>
        <w:spacing w:line="560" w:lineRule="exact"/>
        <w:ind w:firstLine="560" w:firstLineChars="200"/>
        <w:jc w:val="center"/>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bookmarkEnd w:id="388"/>
    <w:bookmarkEnd w:id="389"/>
    <w:bookmarkEnd w:id="390"/>
    <w:bookmarkEnd w:id="391"/>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r>
        <w:rPr>
          <w:rFonts w:hint="eastAsia" w:eastAsia="方正小标宋简体"/>
          <w:kern w:val="0"/>
          <w:sz w:val="44"/>
          <w:szCs w:val="44"/>
        </w:rPr>
        <w:t>报价供应商须知前附表</w:t>
      </w:r>
    </w:p>
    <w:p>
      <w:pPr>
        <w:keepNext/>
        <w:keepLines/>
        <w:adjustRightInd w:val="0"/>
        <w:snapToGrid w:val="0"/>
        <w:spacing w:before="120" w:beforeLines="50" w:after="120" w:afterLines="50" w:line="560" w:lineRule="exact"/>
        <w:ind w:left="175" w:firstLine="560" w:firstLineChars="20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w:t>
      </w:r>
    </w:p>
    <w:tbl>
      <w:tblPr>
        <w:tblStyle w:val="12"/>
        <w:tblW w:w="918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07"/>
        <w:gridCol w:w="55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序号</w:t>
            </w:r>
          </w:p>
        </w:tc>
        <w:tc>
          <w:tcPr>
            <w:tcW w:w="2607" w:type="dxa"/>
            <w:vAlign w:val="center"/>
          </w:tcPr>
          <w:p>
            <w:pPr>
              <w:adjustRightInd w:val="0"/>
              <w:snapToGrid w:val="0"/>
              <w:spacing w:line="360" w:lineRule="exact"/>
              <w:jc w:val="center"/>
              <w:rPr>
                <w:rFonts w:ascii="宋体" w:hAnsi="宋体"/>
                <w:sz w:val="24"/>
              </w:rPr>
            </w:pPr>
            <w:r>
              <w:rPr>
                <w:rFonts w:hint="eastAsia" w:ascii="宋体" w:hAnsi="宋体"/>
                <w:sz w:val="24"/>
                <w:lang w:val="en-US" w:eastAsia="zh-CN"/>
              </w:rPr>
              <w:t>询价</w:t>
            </w:r>
            <w:r>
              <w:rPr>
                <w:rFonts w:hint="eastAsia" w:ascii="宋体" w:hAnsi="宋体"/>
                <w:sz w:val="24"/>
              </w:rPr>
              <w:t>报价相关事项</w:t>
            </w:r>
          </w:p>
        </w:tc>
        <w:tc>
          <w:tcPr>
            <w:tcW w:w="5580" w:type="dxa"/>
            <w:vAlign w:val="center"/>
          </w:tcPr>
          <w:p>
            <w:pPr>
              <w:adjustRightInd w:val="0"/>
              <w:snapToGrid w:val="0"/>
              <w:spacing w:line="360" w:lineRule="exact"/>
              <w:jc w:val="center"/>
              <w:rPr>
                <w:rFonts w:ascii="宋体" w:hAnsi="宋体"/>
                <w:sz w:val="24"/>
              </w:rPr>
            </w:pPr>
            <w:r>
              <w:rPr>
                <w:rFonts w:hint="eastAsia" w:ascii="宋体" w:hAnsi="宋体" w:cs="宋体"/>
                <w:bCs/>
                <w:sz w:val="24"/>
              </w:rPr>
              <w:t>项目具体要求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cs="宋体"/>
                <w:sz w:val="24"/>
              </w:rPr>
              <w:t>项目概况</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2</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报价供应商资格条件</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110"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3</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lang w:val="en-US" w:eastAsia="zh-CN"/>
              </w:rPr>
              <w:t>询价</w:t>
            </w:r>
            <w:r>
              <w:rPr>
                <w:rFonts w:hint="eastAsia" w:ascii="宋体" w:hAnsi="宋体"/>
                <w:sz w:val="24"/>
              </w:rPr>
              <w:t>文件申领时间</w:t>
            </w:r>
          </w:p>
        </w:tc>
        <w:tc>
          <w:tcPr>
            <w:tcW w:w="5580" w:type="dxa"/>
            <w:vAlign w:val="center"/>
          </w:tcPr>
          <w:p>
            <w:pPr>
              <w:adjustRightInd w:val="0"/>
              <w:snapToGrid w:val="0"/>
              <w:spacing w:line="360" w:lineRule="exact"/>
              <w:rPr>
                <w:rFonts w:ascii="宋体" w:hAnsi="宋体"/>
                <w:sz w:val="24"/>
              </w:rPr>
            </w:pPr>
            <w:r>
              <w:rPr>
                <w:rFonts w:hint="eastAsia" w:ascii="宋体" w:hAnsi="宋体"/>
                <w:bCs/>
                <w:sz w:val="24"/>
              </w:rPr>
              <w:t>详见</w:t>
            </w:r>
            <w:r>
              <w:rPr>
                <w:rFonts w:hint="eastAsia" w:ascii="宋体" w:hAnsi="宋体" w:cs="宋体"/>
                <w:sz w:val="24"/>
                <w:lang w:val="en-US" w:eastAsia="zh-CN"/>
              </w:rPr>
              <w:t>询价</w:t>
            </w:r>
            <w:r>
              <w:rPr>
                <w:rFonts w:hint="eastAsia" w:ascii="宋体" w:hAnsi="宋体"/>
                <w:bCs/>
                <w:sz w:val="24"/>
              </w:rPr>
              <w:t>公告</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4</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组织现场踏勘或召开标前答疑会</w:t>
            </w:r>
          </w:p>
        </w:tc>
        <w:tc>
          <w:tcPr>
            <w:tcW w:w="5580" w:type="dxa"/>
            <w:vAlign w:val="center"/>
          </w:tcPr>
          <w:p>
            <w:pPr>
              <w:adjustRightInd w:val="0"/>
              <w:snapToGrid w:val="0"/>
              <w:spacing w:line="360" w:lineRule="exact"/>
              <w:jc w:val="left"/>
              <w:rPr>
                <w:rFonts w:ascii="宋体" w:hAnsi="宋体" w:cs="宋体"/>
                <w:bCs/>
                <w:sz w:val="24"/>
              </w:rPr>
            </w:pPr>
            <w:r>
              <w:rPr>
                <w:rFonts w:hint="eastAsia" w:ascii="宋体" w:hAnsi="宋体" w:cs="宋体"/>
                <w:bCs/>
                <w:sz w:val="24"/>
              </w:rPr>
              <w:t>现场踏勘：</w:t>
            </w:r>
            <w:r>
              <w:rPr>
                <w:rFonts w:hint="eastAsia" w:ascii="宋体" w:hAnsi="宋体" w:cs="宋体"/>
                <w:bCs/>
                <w:sz w:val="24"/>
                <w:lang w:val="en-US" w:eastAsia="zh-CN"/>
              </w:rPr>
              <w:t xml:space="preserve">  </w:t>
            </w:r>
            <w:r>
              <w:rPr>
                <w:rFonts w:hint="eastAsia" w:ascii="宋体" w:hAnsi="宋体" w:cs="宋体"/>
                <w:bCs/>
                <w:sz w:val="24"/>
              </w:rPr>
              <w:t>□是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p>
            <w:pPr>
              <w:adjustRightInd w:val="0"/>
              <w:snapToGrid w:val="0"/>
              <w:spacing w:line="360" w:lineRule="exact"/>
              <w:rPr>
                <w:rFonts w:ascii="宋体" w:hAnsi="宋体"/>
                <w:sz w:val="24"/>
              </w:rPr>
            </w:pPr>
            <w:r>
              <w:rPr>
                <w:rFonts w:hint="eastAsia" w:ascii="宋体" w:hAnsi="宋体" w:cs="宋体"/>
                <w:bCs/>
                <w:sz w:val="24"/>
              </w:rPr>
              <w:t>标前答疑会：□是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※信息发布媒体</w:t>
            </w:r>
          </w:p>
        </w:tc>
        <w:tc>
          <w:tcPr>
            <w:tcW w:w="5580" w:type="dxa"/>
            <w:vAlign w:val="center"/>
          </w:tcPr>
          <w:p>
            <w:pPr>
              <w:adjustRightInd w:val="0"/>
              <w:snapToGrid w:val="0"/>
              <w:spacing w:line="360" w:lineRule="exact"/>
              <w:rPr>
                <w:rFonts w:ascii="宋体" w:hAnsi="宋体"/>
                <w:sz w:val="24"/>
              </w:rPr>
            </w:pPr>
            <w:r>
              <w:rPr>
                <w:u w:val="none"/>
              </w:rPr>
              <w:fldChar w:fldCharType="begin"/>
            </w:r>
            <w:r>
              <w:rPr>
                <w:u w:val="none"/>
              </w:rPr>
              <w:instrText xml:space="preserve"> HYPERLINK "http://www.plap.mil.cn;www.tmmu.edu.cn" </w:instrText>
            </w:r>
            <w:r>
              <w:rPr>
                <w:u w:val="none"/>
              </w:rPr>
              <w:fldChar w:fldCharType="separate"/>
            </w:r>
            <w:r>
              <w:rPr>
                <w:rStyle w:val="16"/>
                <w:rFonts w:ascii="宋体" w:hAnsi="宋体"/>
                <w:bCs/>
                <w:color w:val="auto"/>
                <w:sz w:val="24"/>
                <w:u w:val="none"/>
              </w:rPr>
              <w:t>www.tmmu.edu.cn</w:t>
            </w:r>
            <w:r>
              <w:rPr>
                <w:rStyle w:val="16"/>
                <w:rFonts w:ascii="宋体" w:hAnsi="宋体"/>
                <w:bCs/>
                <w:color w:val="auto"/>
                <w:sz w:val="24"/>
                <w:u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6</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rPr>
              <w:t>※成交供应商数量</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本项目确定</w:t>
            </w:r>
            <w:r>
              <w:rPr>
                <w:rFonts w:hint="eastAsia" w:ascii="宋体" w:hAnsi="宋体"/>
                <w:sz w:val="24"/>
                <w:u w:val="single"/>
              </w:rPr>
              <w:t xml:space="preserve"> 1  </w:t>
            </w:r>
            <w:r>
              <w:rPr>
                <w:rFonts w:hint="eastAsia" w:ascii="宋体" w:hAnsi="宋体"/>
                <w:sz w:val="24"/>
              </w:rPr>
              <w:t>家供应商成交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报价文件副本及电子版报价文件份数</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副本份数：</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hint="eastAsia" w:ascii="宋体" w:hAnsi="宋体" w:cs="宋体"/>
                <w:sz w:val="24"/>
              </w:rPr>
              <w:t>；</w:t>
            </w:r>
          </w:p>
          <w:p>
            <w:pPr>
              <w:adjustRightInd w:val="0"/>
              <w:snapToGrid w:val="0"/>
              <w:spacing w:line="360" w:lineRule="exact"/>
              <w:rPr>
                <w:rFonts w:ascii="宋体" w:hAnsi="宋体"/>
                <w:sz w:val="24"/>
              </w:rPr>
            </w:pPr>
            <w:r>
              <w:rPr>
                <w:rFonts w:hint="eastAsia" w:ascii="宋体" w:hAnsi="宋体"/>
                <w:sz w:val="24"/>
              </w:rPr>
              <w:t>电子版报价文件（介质为光盘）：</w:t>
            </w:r>
          </w:p>
          <w:p>
            <w:pPr>
              <w:adjustRightInd w:val="0"/>
              <w:snapToGrid w:val="0"/>
              <w:spacing w:line="360" w:lineRule="exact"/>
              <w:rPr>
                <w:rFonts w:ascii="宋体" w:hAnsi="宋体" w:cs="宋体"/>
                <w:sz w:val="24"/>
              </w:rPr>
            </w:pP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张；</w:t>
            </w:r>
          </w:p>
          <w:p>
            <w:pPr>
              <w:adjustRightInd w:val="0"/>
              <w:snapToGrid w:val="0"/>
              <w:spacing w:line="360" w:lineRule="exact"/>
              <w:rPr>
                <w:rFonts w:ascii="宋体" w:hAnsi="宋体"/>
                <w:sz w:val="24"/>
              </w:rPr>
            </w:pPr>
            <w:r>
              <w:rPr>
                <w:rFonts w:hint="eastAsia" w:ascii="宋体" w:hAnsi="宋体"/>
                <w:sz w:val="24"/>
              </w:rPr>
              <w:t>其中，《价格文件》</w:t>
            </w:r>
            <w:r>
              <w:rPr>
                <w:rFonts w:ascii="宋体" w:hAnsi="宋体"/>
                <w:sz w:val="24"/>
                <w:u w:val="single"/>
              </w:rPr>
              <w:t xml:space="preserve">   </w:t>
            </w:r>
            <w:r>
              <w:rPr>
                <w:rFonts w:hint="eastAsia" w:ascii="宋体" w:hAnsi="宋体"/>
                <w:sz w:val="24"/>
                <w:u w:val="single"/>
              </w:rPr>
              <w:t>3</w:t>
            </w:r>
            <w:r>
              <w:rPr>
                <w:rFonts w:ascii="宋体" w:hAnsi="宋体"/>
                <w:sz w:val="24"/>
                <w:u w:val="single"/>
              </w:rPr>
              <w:t xml:space="preserve">  </w:t>
            </w:r>
            <w:r>
              <w:rPr>
                <w:rFonts w:ascii="宋体" w:hAnsi="宋体"/>
                <w:sz w:val="24"/>
              </w:rPr>
              <w:t>份</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报价有效期</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从提交报价文件的截止之日起</w:t>
            </w:r>
            <w:r>
              <w:rPr>
                <w:rFonts w:ascii="宋体" w:hAnsi="宋体"/>
                <w:sz w:val="24"/>
                <w:u w:val="single"/>
              </w:rPr>
              <w:t xml:space="preserve"> </w:t>
            </w:r>
            <w:r>
              <w:rPr>
                <w:rFonts w:hint="eastAsia" w:ascii="宋体" w:hAnsi="宋体"/>
                <w:sz w:val="24"/>
                <w:u w:val="single"/>
              </w:rPr>
              <w:t>180</w:t>
            </w:r>
            <w:r>
              <w:rPr>
                <w:rFonts w:ascii="宋体" w:hAnsi="宋体"/>
                <w:sz w:val="24"/>
                <w:u w:val="single"/>
              </w:rPr>
              <w:t xml:space="preserve"> </w:t>
            </w:r>
            <w:r>
              <w:rPr>
                <w:rFonts w:hint="eastAsia" w:ascii="宋体" w:hAnsi="宋体"/>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0</w:t>
            </w:r>
          </w:p>
        </w:tc>
        <w:tc>
          <w:tcPr>
            <w:tcW w:w="2607" w:type="dxa"/>
            <w:vAlign w:val="center"/>
          </w:tcPr>
          <w:p>
            <w:pPr>
              <w:adjustRightInd w:val="0"/>
              <w:snapToGrid w:val="0"/>
              <w:spacing w:line="360" w:lineRule="exact"/>
              <w:rPr>
                <w:rFonts w:ascii="宋体" w:hAnsi="宋体"/>
                <w:sz w:val="24"/>
              </w:rPr>
            </w:pPr>
            <w:r>
              <w:rPr>
                <w:rFonts w:hint="eastAsia" w:ascii="宋体" w:hAnsi="宋体"/>
                <w:sz w:val="24"/>
                <w:lang w:val="en-US" w:eastAsia="zh-CN"/>
              </w:rPr>
              <w:t>询价</w:t>
            </w:r>
            <w:r>
              <w:rPr>
                <w:rFonts w:hint="eastAsia" w:ascii="宋体" w:hAnsi="宋体"/>
                <w:sz w:val="24"/>
              </w:rPr>
              <w:t>保证金</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金额：（大写）</w:t>
            </w:r>
            <w:r>
              <w:rPr>
                <w:rFonts w:ascii="宋体" w:hAnsi="宋体" w:cs="宋体"/>
                <w:sz w:val="24"/>
                <w:u w:val="single"/>
              </w:rPr>
              <w:t xml:space="preserve"> </w:t>
            </w:r>
            <w:r>
              <w:rPr>
                <w:rFonts w:hint="eastAsia" w:ascii="宋体" w:hAnsi="宋体" w:cs="宋体"/>
                <w:sz w:val="24"/>
                <w:u w:val="single"/>
                <w:lang w:val="en-US" w:eastAsia="zh-CN"/>
              </w:rPr>
              <w:t>零</w:t>
            </w:r>
            <w:r>
              <w:rPr>
                <w:rFonts w:ascii="宋体" w:hAnsi="宋体" w:cs="宋体"/>
                <w:sz w:val="24"/>
                <w:u w:val="single"/>
              </w:rPr>
              <w:t xml:space="preserve"> </w:t>
            </w:r>
            <w:r>
              <w:rPr>
                <w:rFonts w:hint="eastAsia" w:ascii="宋体" w:hAnsi="宋体" w:cs="宋体"/>
                <w:sz w:val="24"/>
              </w:rPr>
              <w:t>元（¥</w:t>
            </w:r>
            <w:r>
              <w:rPr>
                <w:rFonts w:ascii="宋体" w:hAnsi="宋体" w:cs="宋体"/>
                <w:sz w:val="24"/>
                <w:u w:val="single"/>
              </w:rPr>
              <w:t xml:space="preserve"> </w:t>
            </w:r>
            <w:r>
              <w:rPr>
                <w:rFonts w:hint="eastAsia" w:ascii="宋体" w:hAnsi="宋体" w:cs="宋体"/>
                <w:sz w:val="24"/>
                <w:u w:val="single"/>
              </w:rPr>
              <w:t>0.00</w:t>
            </w:r>
            <w:r>
              <w:rPr>
                <w:rFonts w:ascii="宋体" w:hAnsi="宋体" w:cs="宋体"/>
                <w:sz w:val="24"/>
                <w:u w:val="single"/>
              </w:rPr>
              <w:t xml:space="preserve"> </w:t>
            </w: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1</w:t>
            </w:r>
          </w:p>
        </w:tc>
        <w:tc>
          <w:tcPr>
            <w:tcW w:w="2607" w:type="dxa"/>
            <w:vAlign w:val="center"/>
          </w:tcPr>
          <w:p>
            <w:pPr>
              <w:adjustRightInd w:val="0"/>
              <w:snapToGrid w:val="0"/>
              <w:spacing w:line="360" w:lineRule="exact"/>
              <w:rPr>
                <w:rFonts w:ascii="宋体" w:hAnsi="宋体"/>
                <w:sz w:val="24"/>
              </w:rPr>
            </w:pPr>
            <w:r>
              <w:rPr>
                <w:rFonts w:hint="eastAsia" w:ascii="宋体" w:hAnsi="宋体" w:cs="仿宋_GB2312"/>
                <w:sz w:val="24"/>
              </w:rPr>
              <w:t>提交报价文件</w:t>
            </w:r>
            <w:r>
              <w:rPr>
                <w:rFonts w:hint="eastAsia" w:ascii="宋体" w:hAnsi="宋体"/>
                <w:sz w:val="24"/>
              </w:rPr>
              <w:t>截止时间及地点、方式</w:t>
            </w:r>
          </w:p>
        </w:tc>
        <w:tc>
          <w:tcPr>
            <w:tcW w:w="5580" w:type="dxa"/>
            <w:vAlign w:val="center"/>
          </w:tcPr>
          <w:p>
            <w:pPr>
              <w:tabs>
                <w:tab w:val="left" w:pos="888"/>
              </w:tabs>
              <w:spacing w:line="360" w:lineRule="exact"/>
              <w:rPr>
                <w:rFonts w:ascii="宋体" w:hAnsi="宋体"/>
                <w:sz w:val="24"/>
              </w:rPr>
            </w:pPr>
            <w:r>
              <w:rPr>
                <w:rFonts w:hint="eastAsia" w:ascii="宋体" w:hAnsi="宋体"/>
                <w:sz w:val="24"/>
              </w:rPr>
              <w:t>报价开始时间：详见</w:t>
            </w:r>
            <w:r>
              <w:rPr>
                <w:rFonts w:hint="eastAsia" w:ascii="宋体" w:hAnsi="宋体"/>
                <w:sz w:val="24"/>
                <w:lang w:val="en-US" w:eastAsia="zh-CN"/>
              </w:rPr>
              <w:t>询价</w:t>
            </w:r>
            <w:r>
              <w:rPr>
                <w:rFonts w:hint="eastAsia" w:ascii="宋体" w:hAnsi="宋体"/>
                <w:sz w:val="24"/>
              </w:rPr>
              <w:t>公告</w:t>
            </w:r>
          </w:p>
          <w:p>
            <w:pPr>
              <w:tabs>
                <w:tab w:val="left" w:pos="888"/>
              </w:tabs>
              <w:spacing w:line="360" w:lineRule="exact"/>
              <w:rPr>
                <w:rFonts w:ascii="宋体" w:hAnsi="宋体"/>
                <w:sz w:val="24"/>
              </w:rPr>
            </w:pPr>
            <w:r>
              <w:rPr>
                <w:rFonts w:hint="eastAsia" w:ascii="宋体" w:hAnsi="宋体"/>
                <w:sz w:val="24"/>
              </w:rPr>
              <w:t>报价地点：</w:t>
            </w:r>
            <w:r>
              <w:rPr>
                <w:rFonts w:hint="eastAsia" w:ascii="宋体" w:hAnsi="宋体"/>
                <w:sz w:val="24"/>
                <w:u w:val="none"/>
              </w:rPr>
              <w:t>重庆市沙坪坝区高滩岩正街30号</w:t>
            </w:r>
          </w:p>
          <w:p>
            <w:pPr>
              <w:adjustRightInd w:val="0"/>
              <w:snapToGrid w:val="0"/>
              <w:spacing w:line="360" w:lineRule="exact"/>
              <w:rPr>
                <w:rFonts w:ascii="宋体" w:hAnsi="宋体" w:cs="宋体"/>
                <w:sz w:val="24"/>
              </w:rPr>
            </w:pPr>
            <w:r>
              <w:rPr>
                <w:rFonts w:hint="eastAsia" w:ascii="宋体" w:hAnsi="宋体"/>
                <w:sz w:val="24"/>
              </w:rPr>
              <w:t>报价方式：由报价供应商法定代表人或授权代表现场提交报价文件，不接受邮寄等其他方式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7"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12</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lang w:val="en-US" w:eastAsia="zh-CN"/>
              </w:rPr>
              <w:t>询价</w:t>
            </w:r>
            <w:r>
              <w:rPr>
                <w:rFonts w:hint="eastAsia" w:ascii="宋体" w:hAnsi="宋体" w:cs="宋体"/>
                <w:bCs/>
                <w:sz w:val="24"/>
              </w:rPr>
              <w:t>时间及地点</w:t>
            </w:r>
          </w:p>
        </w:tc>
        <w:tc>
          <w:tcPr>
            <w:tcW w:w="5580" w:type="dxa"/>
            <w:vAlign w:val="center"/>
          </w:tcPr>
          <w:p>
            <w:pPr>
              <w:tabs>
                <w:tab w:val="left" w:pos="888"/>
              </w:tabs>
              <w:spacing w:line="360" w:lineRule="exact"/>
              <w:rPr>
                <w:rFonts w:hint="default" w:ascii="宋体" w:hAnsi="宋体" w:eastAsia="宋体"/>
                <w:sz w:val="24"/>
                <w:lang w:val="en-US" w:eastAsia="zh-CN"/>
              </w:rPr>
            </w:pPr>
            <w:r>
              <w:rPr>
                <w:rFonts w:hint="eastAsia" w:ascii="宋体" w:hAnsi="宋体"/>
                <w:sz w:val="24"/>
                <w:lang w:val="en-US" w:eastAsia="zh-CN"/>
              </w:rPr>
              <w:t>询价</w:t>
            </w:r>
            <w:r>
              <w:rPr>
                <w:rFonts w:hint="eastAsia" w:ascii="宋体" w:hAnsi="宋体"/>
                <w:sz w:val="24"/>
              </w:rPr>
              <w:t>时间：</w:t>
            </w:r>
            <w:r>
              <w:rPr>
                <w:rFonts w:hint="eastAsia" w:ascii="宋体" w:hAnsi="宋体"/>
                <w:sz w:val="24"/>
                <w:lang w:val="en-US" w:eastAsia="zh-CN"/>
              </w:rPr>
              <w:t>以电话通知为准</w:t>
            </w:r>
          </w:p>
          <w:p>
            <w:pPr>
              <w:tabs>
                <w:tab w:val="left" w:pos="888"/>
              </w:tabs>
              <w:spacing w:line="360" w:lineRule="exact"/>
              <w:rPr>
                <w:rFonts w:ascii="宋体" w:hAnsi="宋体"/>
                <w:sz w:val="24"/>
              </w:rPr>
            </w:pPr>
            <w:r>
              <w:rPr>
                <w:rFonts w:hint="eastAsia" w:ascii="宋体" w:hAnsi="宋体"/>
                <w:sz w:val="24"/>
                <w:lang w:val="en-US" w:eastAsia="zh-CN"/>
              </w:rPr>
              <w:t>询价</w:t>
            </w:r>
            <w:r>
              <w:rPr>
                <w:rFonts w:hint="eastAsia" w:ascii="宋体" w:hAnsi="宋体"/>
                <w:sz w:val="24"/>
              </w:rPr>
              <w:t>地点：</w:t>
            </w:r>
            <w:r>
              <w:rPr>
                <w:rFonts w:hint="eastAsia" w:ascii="宋体" w:hAnsi="宋体"/>
                <w:sz w:val="24"/>
                <w:u w:val="none"/>
              </w:rPr>
              <w:t>重庆市沙坪坝区高滩岩正街30号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3</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资格性</w:t>
            </w:r>
            <w:r>
              <w:rPr>
                <w:rFonts w:hint="eastAsia" w:ascii="宋体" w:hAnsi="宋体"/>
                <w:sz w:val="24"/>
                <w:lang w:val="en-US" w:eastAsia="zh-CN"/>
              </w:rPr>
              <w:t>和符合性</w:t>
            </w:r>
            <w:r>
              <w:rPr>
                <w:rFonts w:hint="eastAsia" w:ascii="宋体" w:hAnsi="宋体"/>
                <w:sz w:val="24"/>
              </w:rPr>
              <w:t>审查标准</w:t>
            </w:r>
          </w:p>
        </w:tc>
        <w:tc>
          <w:tcPr>
            <w:tcW w:w="5580"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详见附表1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4</w:t>
            </w:r>
          </w:p>
        </w:tc>
        <w:tc>
          <w:tcPr>
            <w:tcW w:w="2607"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商务和技术评审标准</w:t>
            </w:r>
          </w:p>
        </w:tc>
        <w:tc>
          <w:tcPr>
            <w:tcW w:w="5580" w:type="dxa"/>
            <w:vAlign w:val="center"/>
          </w:tcPr>
          <w:p>
            <w:pPr>
              <w:adjustRightInd w:val="0"/>
              <w:snapToGrid w:val="0"/>
              <w:spacing w:line="360" w:lineRule="exact"/>
              <w:rPr>
                <w:rFonts w:hint="default" w:ascii="宋体" w:hAnsi="宋体"/>
                <w:sz w:val="24"/>
                <w:lang w:val="en-US"/>
              </w:rPr>
            </w:pPr>
            <w:r>
              <w:rPr>
                <w:rFonts w:hint="eastAsia" w:ascii="宋体" w:hAnsi="宋体"/>
                <w:sz w:val="24"/>
                <w:lang w:val="en-US" w:eastAsia="zh-CN"/>
              </w:rPr>
              <w:t>详见附表2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993" w:type="dxa"/>
            <w:vAlign w:val="center"/>
          </w:tcPr>
          <w:p>
            <w:pPr>
              <w:adjustRightInd w:val="0"/>
              <w:snapToGrid w:val="0"/>
              <w:spacing w:line="360" w:lineRule="exact"/>
              <w:jc w:val="center"/>
              <w:rPr>
                <w:rFonts w:hint="eastAsia" w:ascii="宋体" w:hAnsi="宋体" w:eastAsia="宋体"/>
                <w:sz w:val="24"/>
                <w:lang w:val="en-US" w:eastAsia="zh-CN"/>
              </w:rPr>
            </w:pPr>
            <w:r>
              <w:rPr>
                <w:rFonts w:ascii="宋体" w:hAnsi="宋体"/>
                <w:sz w:val="24"/>
              </w:rPr>
              <w:t>1</w:t>
            </w:r>
            <w:r>
              <w:rPr>
                <w:rFonts w:hint="eastAsia" w:ascii="宋体" w:hAnsi="宋体"/>
                <w:sz w:val="24"/>
                <w:lang w:val="en-US" w:eastAsia="zh-CN"/>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评审方法</w:t>
            </w:r>
          </w:p>
        </w:tc>
        <w:tc>
          <w:tcPr>
            <w:tcW w:w="5580" w:type="dxa"/>
            <w:vAlign w:val="center"/>
          </w:tcPr>
          <w:p>
            <w:pPr>
              <w:adjustRightInd w:val="0"/>
              <w:snapToGrid w:val="0"/>
              <w:spacing w:line="360" w:lineRule="exact"/>
              <w:rPr>
                <w:rFonts w:ascii="宋体" w:hAnsi="宋体"/>
                <w:sz w:val="24"/>
              </w:rPr>
            </w:pPr>
            <w:r>
              <w:rPr>
                <w:rFonts w:hint="eastAsia" w:ascii="宋体" w:hAnsi="宋体" w:cs="宋体"/>
                <w:bCs/>
                <w:sz w:val="24"/>
              </w:rPr>
              <w:sym w:font="Wingdings 2" w:char="00A3"/>
            </w:r>
            <w:r>
              <w:rPr>
                <w:rFonts w:hint="eastAsia" w:ascii="宋体" w:hAnsi="宋体"/>
                <w:sz w:val="24"/>
              </w:rPr>
              <w:t>综合评分法</w:t>
            </w:r>
          </w:p>
          <w:p>
            <w:pPr>
              <w:adjustRightInd w:val="0"/>
              <w:snapToGrid w:val="0"/>
              <w:spacing w:line="360" w:lineRule="exact"/>
              <w:rPr>
                <w:rFonts w:ascii="宋体" w:hAnsi="宋体"/>
                <w:sz w:val="24"/>
              </w:rPr>
            </w:pPr>
            <w:r>
              <w:rPr>
                <w:rFonts w:hint="eastAsia" w:ascii="宋体" w:hAnsi="宋体"/>
                <w:sz w:val="24"/>
              </w:rPr>
              <w:sym w:font="Wingdings 2" w:char="0052"/>
            </w:r>
            <w:r>
              <w:rPr>
                <w:rFonts w:hint="eastAsia" w:ascii="宋体" w:hAnsi="宋体"/>
                <w:sz w:val="24"/>
              </w:rPr>
              <w:t>经评审的最低价法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16</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质疑</w:t>
            </w:r>
            <w:r>
              <w:rPr>
                <w:rFonts w:hint="eastAsia" w:ascii="宋体" w:hAnsi="宋体" w:cs="宋体"/>
                <w:bCs/>
                <w:sz w:val="24"/>
              </w:rPr>
              <w:t>受理单位</w:t>
            </w:r>
            <w:r>
              <w:rPr>
                <w:rFonts w:hint="eastAsia" w:ascii="宋体" w:hAnsi="宋体"/>
                <w:sz w:val="24"/>
              </w:rPr>
              <w:t>及联系方式</w:t>
            </w:r>
          </w:p>
        </w:tc>
        <w:tc>
          <w:tcPr>
            <w:tcW w:w="5580" w:type="dxa"/>
            <w:vAlign w:val="center"/>
          </w:tcPr>
          <w:p>
            <w:pPr>
              <w:tabs>
                <w:tab w:val="left" w:pos="888"/>
              </w:tabs>
              <w:spacing w:line="360" w:lineRule="exact"/>
              <w:rPr>
                <w:rFonts w:ascii="宋体" w:hAnsi="宋体"/>
                <w:sz w:val="24"/>
                <w:u w:val="single"/>
              </w:rPr>
            </w:pPr>
            <w:r>
              <w:rPr>
                <w:rFonts w:hint="eastAsia" w:ascii="宋体" w:hAnsi="宋体"/>
                <w:sz w:val="24"/>
              </w:rPr>
              <w:t>受理单位：</w:t>
            </w:r>
            <w:r>
              <w:rPr>
                <w:rFonts w:hint="eastAsia" w:ascii="宋体" w:hAnsi="宋体"/>
                <w:sz w:val="24"/>
                <w:u w:val="single"/>
                <w:lang w:val="en-US" w:eastAsia="zh-CN"/>
              </w:rPr>
              <w:t xml:space="preserve">预防医学系       </w:t>
            </w:r>
            <w:r>
              <w:rPr>
                <w:rFonts w:ascii="宋体" w:hAnsi="宋体"/>
                <w:sz w:val="24"/>
                <w:u w:val="single"/>
              </w:rPr>
              <w:t xml:space="preserve"> </w:t>
            </w:r>
          </w:p>
          <w:p>
            <w:pPr>
              <w:tabs>
                <w:tab w:val="left" w:pos="888"/>
              </w:tabs>
              <w:spacing w:line="360" w:lineRule="exact"/>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val="en-US" w:eastAsia="zh-CN"/>
              </w:rPr>
              <w:t xml:space="preserve"> </w:t>
            </w:r>
            <w:r>
              <w:rPr>
                <w:rFonts w:ascii="宋体" w:hAnsi="宋体"/>
                <w:sz w:val="24"/>
                <w:u w:val="single"/>
              </w:rPr>
              <w:t xml:space="preserve"> </w:t>
            </w:r>
            <w:r>
              <w:rPr>
                <w:rFonts w:hint="eastAsia" w:ascii="宋体" w:hAnsi="宋体"/>
                <w:sz w:val="24"/>
                <w:u w:val="single"/>
                <w:lang w:val="en-US" w:eastAsia="zh-CN"/>
              </w:rPr>
              <w:t>李</w:t>
            </w:r>
            <w:r>
              <w:rPr>
                <w:rFonts w:hint="eastAsia" w:ascii="宋体" w:hAnsi="宋体"/>
                <w:sz w:val="24"/>
                <w:u w:val="single"/>
              </w:rPr>
              <w:t>老师</w:t>
            </w:r>
            <w:r>
              <w:rPr>
                <w:rFonts w:ascii="宋体" w:hAnsi="宋体"/>
                <w:sz w:val="24"/>
                <w:u w:val="single"/>
              </w:rPr>
              <w:t xml:space="preserve"> </w:t>
            </w:r>
            <w:r>
              <w:rPr>
                <w:rFonts w:hint="eastAsia" w:ascii="宋体" w:hAnsi="宋体"/>
                <w:sz w:val="24"/>
                <w:u w:val="single"/>
                <w:lang w:val="en-US" w:eastAsia="zh-CN"/>
              </w:rPr>
              <w:t xml:space="preserve">           </w:t>
            </w:r>
          </w:p>
          <w:p>
            <w:pPr>
              <w:adjustRightInd w:val="0"/>
              <w:snapToGrid w:val="0"/>
              <w:spacing w:line="360" w:lineRule="exact"/>
              <w:rPr>
                <w:rFonts w:ascii="宋体" w:hAnsi="宋体"/>
                <w:sz w:val="24"/>
              </w:rPr>
            </w:pPr>
            <w:r>
              <w:rPr>
                <w:rFonts w:hint="eastAsia" w:ascii="宋体" w:hAnsi="宋体"/>
                <w:sz w:val="24"/>
              </w:rPr>
              <w:t>联系方式：</w:t>
            </w:r>
            <w:r>
              <w:rPr>
                <w:rFonts w:ascii="宋体" w:hAnsi="宋体"/>
                <w:sz w:val="24"/>
                <w:u w:val="single"/>
              </w:rPr>
              <w:t xml:space="preserve"> </w:t>
            </w:r>
            <w:r>
              <w:rPr>
                <w:rFonts w:hint="eastAsia" w:ascii="宋体" w:hAnsi="宋体"/>
                <w:sz w:val="24"/>
                <w:u w:val="single"/>
              </w:rPr>
              <w:t>023-687</w:t>
            </w:r>
            <w:r>
              <w:rPr>
                <w:rFonts w:hint="eastAsia" w:ascii="宋体" w:hAnsi="宋体"/>
                <w:sz w:val="24"/>
                <w:u w:val="single"/>
                <w:lang w:val="en-US" w:eastAsia="zh-CN"/>
              </w:rPr>
              <w:t>52300</w:t>
            </w:r>
            <w:r>
              <w:rPr>
                <w:rFonts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供应保障处</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王助理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023-68752144</w:t>
            </w:r>
            <w:r>
              <w:rPr>
                <w:rFonts w:ascii="宋体" w:hAnsi="宋体"/>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受理、处理投诉复议申请部门及联系方式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采购供应局</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李助理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 xml:space="preserve">010-66718844 </w:t>
            </w:r>
            <w:r>
              <w:rPr>
                <w:rFonts w:ascii="宋体" w:hAnsi="宋体"/>
                <w:sz w:val="24"/>
              </w:rPr>
              <w:t xml:space="preserve"> </w:t>
            </w:r>
          </w:p>
        </w:tc>
      </w:tr>
    </w:tbl>
    <w:p>
      <w:pPr>
        <w:rPr>
          <w:rFonts w:hint="eastAsia" w:ascii="黑体" w:hAnsi="黑体" w:cs="黑体"/>
          <w:b w:val="0"/>
          <w:bCs w:val="0"/>
          <w:sz w:val="28"/>
          <w:szCs w:val="28"/>
        </w:rPr>
      </w:pPr>
    </w:p>
    <w:p>
      <w:pPr>
        <w:pStyle w:val="3"/>
        <w:rPr>
          <w:rFonts w:hint="eastAsia" w:ascii="黑体" w:hAnsi="黑体" w:cs="黑体"/>
          <w:b w:val="0"/>
          <w:bCs w:val="0"/>
          <w:sz w:val="28"/>
          <w:szCs w:val="28"/>
        </w:rPr>
      </w:pPr>
    </w:p>
    <w:p>
      <w:pPr>
        <w:rPr>
          <w:rFonts w:hint="eastAsia"/>
        </w:rPr>
      </w:pPr>
    </w:p>
    <w:p>
      <w:pPr>
        <w:pStyle w:val="3"/>
        <w:rPr>
          <w:rFonts w:hint="eastAsia" w:ascii="黑体" w:hAnsi="黑体" w:cs="黑体"/>
          <w:b w:val="0"/>
          <w:bCs w:val="0"/>
          <w:sz w:val="28"/>
          <w:szCs w:val="28"/>
        </w:rPr>
      </w:pPr>
    </w:p>
    <w:p>
      <w:pPr>
        <w:rPr>
          <w:rFonts w:hint="eastAsia" w:ascii="黑体" w:hAnsi="黑体" w:cs="黑体"/>
          <w:b w:val="0"/>
          <w:bCs w:val="0"/>
          <w:sz w:val="28"/>
          <w:szCs w:val="28"/>
        </w:rPr>
      </w:pPr>
    </w:p>
    <w:p>
      <w:pPr>
        <w:rPr>
          <w:rFonts w:hint="eastAsia" w:ascii="宋体" w:hAnsi="宋体" w:eastAsia="宋体" w:cs="宋体"/>
          <w:b/>
          <w:bCs w:val="0"/>
          <w:sz w:val="28"/>
          <w:szCs w:val="28"/>
        </w:rPr>
      </w:pPr>
      <w:bookmarkStart w:id="392" w:name="_Toc10169"/>
      <w:bookmarkStart w:id="393" w:name="_Toc28545"/>
      <w:bookmarkStart w:id="394" w:name="_Toc130887805"/>
      <w:bookmarkStart w:id="395" w:name="_Toc16041"/>
      <w:bookmarkStart w:id="396" w:name="_Toc150351565"/>
      <w:bookmarkStart w:id="397" w:name="_Toc132399040"/>
      <w:bookmarkStart w:id="398" w:name="_Toc1301"/>
      <w:bookmarkStart w:id="399" w:name="_Toc154562967"/>
      <w:bookmarkStart w:id="400" w:name="_Toc20287"/>
      <w:bookmarkStart w:id="401" w:name="_Toc128772330"/>
      <w:bookmarkStart w:id="402" w:name="_Toc121473161"/>
      <w:bookmarkStart w:id="403" w:name="_Toc128150565"/>
    </w:p>
    <w:p>
      <w:pPr>
        <w:pStyle w:val="3"/>
        <w:rPr>
          <w:rFonts w:hint="eastAsia" w:ascii="宋体" w:hAnsi="宋体" w:eastAsia="宋体" w:cs="宋体"/>
          <w:b/>
          <w:bCs w:val="0"/>
          <w:sz w:val="28"/>
          <w:szCs w:val="28"/>
        </w:rPr>
      </w:pPr>
    </w:p>
    <w:p>
      <w:pPr>
        <w:rPr>
          <w:rFonts w:hint="eastAsia" w:ascii="宋体" w:hAnsi="宋体" w:eastAsia="宋体" w:cs="宋体"/>
          <w:b/>
          <w:bCs w:val="0"/>
          <w:sz w:val="28"/>
          <w:szCs w:val="28"/>
        </w:rPr>
      </w:pPr>
    </w:p>
    <w:p>
      <w:pPr>
        <w:pStyle w:val="3"/>
        <w:rPr>
          <w:rFonts w:hint="eastAsia" w:ascii="宋体" w:hAnsi="宋体" w:eastAsia="宋体" w:cs="宋体"/>
          <w:b/>
          <w:bCs w:val="0"/>
          <w:sz w:val="28"/>
          <w:szCs w:val="28"/>
        </w:rPr>
      </w:pPr>
    </w:p>
    <w:p>
      <w:pPr>
        <w:rPr>
          <w:rFonts w:hint="eastAsia"/>
        </w:rPr>
      </w:pPr>
    </w:p>
    <w:p>
      <w:pPr>
        <w:pStyle w:val="3"/>
        <w:rPr>
          <w:rFonts w:hint="eastAsia"/>
        </w:rPr>
      </w:pPr>
    </w:p>
    <w:p>
      <w:pPr>
        <w:rPr>
          <w:rFonts w:hint="eastAsia"/>
        </w:rPr>
      </w:pPr>
    </w:p>
    <w:p>
      <w:pPr>
        <w:pStyle w:val="3"/>
        <w:rPr>
          <w:rFonts w:hint="eastAsia"/>
        </w:rPr>
      </w:pPr>
    </w:p>
    <w:p>
      <w:pPr>
        <w:rPr>
          <w:rFonts w:hint="eastAsia"/>
        </w:rPr>
      </w:pPr>
      <w:r>
        <w:rPr>
          <w:rFonts w:hint="eastAsia"/>
        </w:rPr>
        <w:br w:type="page"/>
      </w:r>
    </w:p>
    <w:p>
      <w:pPr>
        <w:rPr>
          <w:rFonts w:ascii="宋体" w:hAnsi="宋体"/>
        </w:rPr>
      </w:pPr>
      <w:r>
        <w:rPr>
          <w:rFonts w:hint="eastAsia" w:ascii="宋体" w:hAnsi="宋体" w:eastAsia="宋体" w:cs="宋体"/>
          <w:b/>
          <w:bCs w:val="0"/>
          <w:sz w:val="28"/>
          <w:szCs w:val="28"/>
        </w:rPr>
        <w:t>附表1 资格性</w:t>
      </w:r>
      <w:r>
        <w:rPr>
          <w:rFonts w:hint="eastAsia" w:ascii="宋体" w:hAnsi="宋体" w:cs="宋体"/>
          <w:b/>
          <w:bCs w:val="0"/>
          <w:sz w:val="28"/>
          <w:szCs w:val="28"/>
          <w:lang w:val="en-US" w:eastAsia="zh-CN"/>
        </w:rPr>
        <w:t>和符合性</w:t>
      </w:r>
      <w:r>
        <w:rPr>
          <w:rFonts w:hint="eastAsia" w:ascii="宋体" w:hAnsi="宋体" w:eastAsia="宋体" w:cs="宋体"/>
          <w:b/>
          <w:bCs w:val="0"/>
          <w:sz w:val="28"/>
          <w:szCs w:val="28"/>
        </w:rPr>
        <w:t>审查表</w:t>
      </w:r>
      <w:bookmarkEnd w:id="392"/>
      <w:bookmarkEnd w:id="393"/>
      <w:bookmarkEnd w:id="394"/>
      <w:bookmarkEnd w:id="395"/>
      <w:bookmarkEnd w:id="396"/>
      <w:bookmarkEnd w:id="397"/>
      <w:bookmarkEnd w:id="398"/>
      <w:bookmarkEnd w:id="399"/>
      <w:bookmarkEnd w:id="400"/>
      <w:bookmarkEnd w:id="401"/>
      <w:bookmarkEnd w:id="402"/>
      <w:bookmarkEnd w:id="403"/>
    </w:p>
    <w:p>
      <w:pPr>
        <w:pStyle w:val="19"/>
      </w:pPr>
    </w:p>
    <w:p>
      <w:pPr>
        <w:pStyle w:val="19"/>
      </w:pPr>
      <w:r>
        <w:t>资格性和符合性审查表</w:t>
      </w:r>
    </w:p>
    <w:p>
      <w:pPr>
        <w:pStyle w:val="19"/>
      </w:pPr>
    </w:p>
    <w:p>
      <w:pPr>
        <w:pStyle w:val="20"/>
      </w:pPr>
      <w:r>
        <w:t>项目名称：</w:t>
      </w:r>
      <w:r>
        <w:rPr>
          <w:u w:val="single"/>
        </w:rPr>
        <w:t xml:space="preserve">                  </w:t>
      </w:r>
      <w:r>
        <w:t xml:space="preserve"> 项目编号：</w:t>
      </w:r>
      <w:r>
        <w:rPr>
          <w:u w:val="single"/>
        </w:rPr>
        <w:t xml:space="preserve">                 </w:t>
      </w:r>
      <w:r>
        <w:t xml:space="preserve"> 包号：</w:t>
      </w:r>
      <w:r>
        <w:rPr>
          <w:u w:val="single"/>
        </w:rPr>
        <w:t xml:space="preserve">       </w:t>
      </w:r>
      <w:r>
        <w:t xml:space="preserve">   </w:t>
      </w:r>
    </w:p>
    <w:tbl>
      <w:tblPr>
        <w:tblStyle w:val="1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3"/>
        <w:gridCol w:w="1134"/>
        <w:gridCol w:w="1134"/>
        <w:gridCol w:w="3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restart"/>
            <w:noWrap w:val="0"/>
            <w:vAlign w:val="center"/>
          </w:tcPr>
          <w:p>
            <w:pPr>
              <w:pStyle w:val="20"/>
              <w:jc w:val="center"/>
              <w:rPr>
                <w:b/>
                <w:bCs/>
                <w:sz w:val="24"/>
                <w:szCs w:val="24"/>
              </w:rPr>
            </w:pPr>
            <w:r>
              <w:rPr>
                <w:b/>
                <w:bCs/>
                <w:sz w:val="24"/>
                <w:szCs w:val="24"/>
              </w:rPr>
              <w:t>审查项目</w:t>
            </w:r>
          </w:p>
        </w:tc>
        <w:tc>
          <w:tcPr>
            <w:tcW w:w="2268" w:type="dxa"/>
            <w:gridSpan w:val="2"/>
            <w:noWrap w:val="0"/>
            <w:vAlign w:val="center"/>
          </w:tcPr>
          <w:p>
            <w:pPr>
              <w:pStyle w:val="20"/>
              <w:jc w:val="center"/>
              <w:rPr>
                <w:b/>
                <w:bCs/>
                <w:sz w:val="24"/>
                <w:szCs w:val="24"/>
              </w:rPr>
            </w:pPr>
            <w:r>
              <w:rPr>
                <w:b/>
                <w:bCs/>
                <w:sz w:val="24"/>
                <w:szCs w:val="24"/>
              </w:rPr>
              <w:t>是否合格</w:t>
            </w:r>
          </w:p>
        </w:tc>
        <w:tc>
          <w:tcPr>
            <w:tcW w:w="3324"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continue"/>
            <w:noWrap w:val="0"/>
            <w:vAlign w:val="center"/>
          </w:tcPr>
          <w:p>
            <w:pPr>
              <w:pStyle w:val="20"/>
              <w:rPr>
                <w:sz w:val="24"/>
                <w:szCs w:val="24"/>
              </w:rPr>
            </w:pPr>
          </w:p>
        </w:tc>
        <w:tc>
          <w:tcPr>
            <w:tcW w:w="1134" w:type="dxa"/>
            <w:noWrap w:val="0"/>
            <w:vAlign w:val="center"/>
          </w:tcPr>
          <w:p>
            <w:pPr>
              <w:pStyle w:val="20"/>
              <w:jc w:val="center"/>
              <w:rPr>
                <w:rFonts w:hint="eastAsia" w:eastAsia="宋体"/>
                <w:b/>
                <w:bCs/>
                <w:sz w:val="24"/>
                <w:szCs w:val="24"/>
                <w:lang w:val="en-US" w:eastAsia="zh-CN"/>
              </w:rPr>
            </w:pPr>
            <w:r>
              <w:rPr>
                <w:b/>
                <w:bCs/>
                <w:sz w:val="24"/>
                <w:szCs w:val="24"/>
              </w:rPr>
              <w:t>报价</w:t>
            </w:r>
            <w:r>
              <w:rPr>
                <w:rFonts w:hint="eastAsia"/>
                <w:b/>
                <w:bCs/>
                <w:sz w:val="24"/>
                <w:szCs w:val="24"/>
                <w:lang w:val="en-US" w:eastAsia="zh-CN"/>
              </w:rPr>
              <w:t>方</w:t>
            </w:r>
          </w:p>
        </w:tc>
        <w:tc>
          <w:tcPr>
            <w:tcW w:w="1134" w:type="dxa"/>
            <w:noWrap w:val="0"/>
            <w:vAlign w:val="center"/>
          </w:tcPr>
          <w:p>
            <w:pPr>
              <w:pStyle w:val="20"/>
              <w:jc w:val="center"/>
              <w:rPr>
                <w:b/>
                <w:bCs/>
                <w:sz w:val="24"/>
                <w:szCs w:val="24"/>
              </w:rPr>
            </w:pPr>
          </w:p>
        </w:tc>
        <w:tc>
          <w:tcPr>
            <w:tcW w:w="3324"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843" w:type="dxa"/>
            <w:noWrap w:val="0"/>
            <w:vAlign w:val="center"/>
          </w:tcPr>
          <w:p>
            <w:pPr>
              <w:pStyle w:val="20"/>
              <w:rPr>
                <w:b/>
                <w:bCs/>
                <w:sz w:val="24"/>
                <w:szCs w:val="24"/>
              </w:rPr>
            </w:pPr>
            <w:r>
              <w:rPr>
                <w:b/>
                <w:bCs/>
                <w:sz w:val="24"/>
                <w:szCs w:val="24"/>
              </w:rPr>
              <w:t>一、资格性审查内容</w:t>
            </w:r>
          </w:p>
        </w:tc>
        <w:tc>
          <w:tcPr>
            <w:tcW w:w="1134" w:type="dxa"/>
            <w:noWrap w:val="0"/>
            <w:vAlign w:val="center"/>
          </w:tcPr>
          <w:p>
            <w:pPr>
              <w:pStyle w:val="20"/>
              <w:rPr>
                <w:b/>
                <w:bCs/>
                <w:sz w:val="24"/>
                <w:szCs w:val="24"/>
              </w:rPr>
            </w:pPr>
          </w:p>
        </w:tc>
        <w:tc>
          <w:tcPr>
            <w:tcW w:w="1134" w:type="dxa"/>
            <w:noWrap w:val="0"/>
            <w:vAlign w:val="center"/>
          </w:tcPr>
          <w:p>
            <w:pPr>
              <w:pStyle w:val="20"/>
              <w:rPr>
                <w:b/>
                <w:bCs/>
                <w:sz w:val="24"/>
                <w:szCs w:val="24"/>
              </w:rPr>
            </w:pPr>
          </w:p>
        </w:tc>
        <w:tc>
          <w:tcPr>
            <w:tcW w:w="3324" w:type="dxa"/>
            <w:noWrap w:val="0"/>
            <w:vAlign w:val="center"/>
          </w:tcPr>
          <w:p>
            <w:pPr>
              <w:pStyle w:val="20"/>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1.营业执照或事业单位法人证书满足询价文件要求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企业法人须提供“统一社会信用代码营业执照”，未换证的提交“营业执照、税务登记证、组织机构代码证或三证合一的营业执照”；事业单位须提供“统一社会信用代码法人登记书”，未换证的提交“事业法人登记证书、组织机构代码证”；军队单位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default" w:ascii="宋体" w:hAnsi="宋体" w:eastAsia="宋体" w:cs="宋体"/>
                <w:sz w:val="24"/>
                <w:szCs w:val="24"/>
                <w:lang w:val="en-US" w:eastAsia="zh-CN"/>
              </w:rPr>
            </w:pPr>
            <w:r>
              <w:rPr>
                <w:rFonts w:hint="eastAsia" w:cs="宋体"/>
                <w:sz w:val="24"/>
                <w:szCs w:val="24"/>
                <w:lang w:val="en-US" w:eastAsia="zh-CN"/>
              </w:rPr>
              <w:t>2.</w:t>
            </w:r>
            <w:r>
              <w:rPr>
                <w:rFonts w:asciiTheme="minorEastAsia" w:hAnsiTheme="minorEastAsia" w:eastAsiaTheme="minorEastAsia"/>
                <w:sz w:val="24"/>
              </w:rPr>
              <w:t>法定代表人资格证明书</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cs="宋体"/>
                <w:sz w:val="24"/>
                <w:szCs w:val="24"/>
                <w:lang w:val="en-US" w:eastAsia="zh-CN"/>
              </w:rPr>
            </w:pPr>
            <w:r>
              <w:rPr>
                <w:rFonts w:ascii="宋体" w:hAnsi="宋体"/>
                <w:sz w:val="24"/>
              </w:rPr>
              <w:t>3.</w:t>
            </w:r>
            <w:r>
              <w:rPr>
                <w:rFonts w:hint="eastAsia" w:ascii="宋体" w:hAnsi="宋体"/>
                <w:sz w:val="24"/>
              </w:rPr>
              <w:t>法定代表人授权书（含授权代表在报价前4个月内（不含报价当月）连续3个月由报价供应商缴纳社保证明材料）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.供应商承诺声明</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bCs/>
                <w:sz w:val="24"/>
              </w:rPr>
              <w:t>承诺声明应当</w:t>
            </w:r>
            <w:r>
              <w:rPr>
                <w:rFonts w:hint="eastAsia" w:ascii="宋体" w:hAnsi="宋体" w:cs="宋体"/>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hint="eastAsia" w:ascii="宋体" w:hAnsi="宋体" w:cs="宋体"/>
                <w:bCs/>
                <w:sz w:val="24"/>
              </w:rPr>
              <w:t>非外资独资企业或控股企业的书面声明、具备履约专业能力的书面声明。</w:t>
            </w:r>
            <w:r>
              <w:rPr>
                <w:rFonts w:hint="eastAsia"/>
              </w:rPr>
              <w:t>（</w:t>
            </w:r>
            <w:r>
              <w:rPr>
                <w:rFonts w:hint="eastAsia" w:ascii="宋体" w:hAnsi="宋体" w:cs="宋体"/>
                <w:bCs/>
                <w:szCs w:val="21"/>
              </w:rPr>
              <w:t>以供应商承诺声明的内容为准</w:t>
            </w:r>
            <w:r>
              <w:rPr>
                <w:rFonts w:hint="eastAsia" w:cs="宋体"/>
                <w:bCs/>
                <w:szCs w:val="21"/>
                <w:lang w:eastAsia="zh-CN"/>
              </w:rPr>
              <w:t>，</w:t>
            </w:r>
            <w:r>
              <w:rPr>
                <w:rFonts w:hint="eastAsia" w:ascii="宋体" w:hAnsi="宋体" w:eastAsia="宋体" w:cs="宋体"/>
                <w:sz w:val="24"/>
                <w:szCs w:val="24"/>
              </w:rPr>
              <w:t>军队单位、事业单位无需提供</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w:t>
            </w:r>
            <w:r>
              <w:rPr>
                <w:rFonts w:hint="eastAsia" w:asciiTheme="minorEastAsia" w:hAnsiTheme="minorEastAsia" w:eastAsiaTheme="minorEastAsia"/>
                <w:sz w:val="24"/>
              </w:rPr>
              <w:t>报价供应商近一年内（报价截止时间前）</w:t>
            </w:r>
            <w:r>
              <w:rPr>
                <w:rFonts w:hint="eastAsia" w:asciiTheme="minorEastAsia" w:hAnsiTheme="minorEastAsia" w:eastAsiaTheme="minorEastAsia"/>
                <w:bCs/>
                <w:sz w:val="24"/>
              </w:rPr>
              <w:t>任意</w:t>
            </w:r>
            <w:r>
              <w:rPr>
                <w:rFonts w:asciiTheme="minorEastAsia" w:hAnsiTheme="minorEastAsia" w:eastAsiaTheme="minorEastAsia"/>
                <w:sz w:val="24"/>
              </w:rPr>
              <w:t>6个月纳税证明材料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cs="宋体" w:asciiTheme="minorEastAsia" w:hAnsiTheme="minorEastAsia" w:eastAsiaTheme="minorEastAsia"/>
                <w:sz w:val="24"/>
              </w:rPr>
              <w:t>根据税务部门出具的完税凭证或纳税的银行转账汇款单、对账单等判定</w:t>
            </w:r>
            <w:r>
              <w:rPr>
                <w:rFonts w:hint="eastAsia" w:ascii="宋体" w:hAnsi="宋体" w:cs="宋体"/>
                <w:bCs/>
                <w:sz w:val="24"/>
              </w:rPr>
              <w:t>，证明材料应当显示税种和缴纳所属时期（</w:t>
            </w:r>
            <w:r>
              <w:rPr>
                <w:rFonts w:hint="eastAsia" w:ascii="宋体" w:hAnsi="宋体" w:cs="宋体"/>
                <w:b/>
                <w:sz w:val="24"/>
              </w:rPr>
              <w:t>认定税种不包括个人所得税</w:t>
            </w:r>
            <w:r>
              <w:rPr>
                <w:rFonts w:hint="eastAsia" w:ascii="宋体" w:hAnsi="宋体" w:cs="宋体"/>
                <w:bCs/>
                <w:sz w:val="24"/>
              </w:rPr>
              <w:t>）；军队单位不作要求；如依法免税或不需要纳税的，提供相应证明材料。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报价供应商近一年内（报价截止时间前）任意</w:t>
            </w:r>
            <w:r>
              <w:rPr>
                <w:rFonts w:asciiTheme="minorEastAsia" w:hAnsiTheme="minorEastAsia" w:eastAsiaTheme="minorEastAsia"/>
                <w:sz w:val="24"/>
              </w:rPr>
              <w:t>6个月缴纳社会保障金证明材料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cs="宋体" w:asciiTheme="minorEastAsia" w:hAnsiTheme="minorEastAsia" w:eastAsiaTheme="minorEastAsia"/>
                <w:sz w:val="24"/>
              </w:rPr>
            </w:pPr>
            <w:r>
              <w:rPr>
                <w:rFonts w:hint="eastAsia" w:cs="宋体" w:asciiTheme="minorEastAsia" w:hAnsiTheme="minorEastAsia" w:eastAsiaTheme="minorEastAsia"/>
                <w:sz w:val="24"/>
              </w:rPr>
              <w:t>根据银行转账汇款单或社保（税务）部门出具的缴纳社会保障金的凭证判定</w:t>
            </w:r>
            <w:r>
              <w:rPr>
                <w:rFonts w:hint="eastAsia" w:ascii="宋体" w:hAnsi="宋体" w:cs="宋体"/>
                <w:bCs/>
                <w:sz w:val="24"/>
              </w:rPr>
              <w:t>，证明材料应当显示险种和缴纳所属时期</w:t>
            </w:r>
            <w:r>
              <w:rPr>
                <w:rFonts w:hint="eastAsia" w:cs="宋体" w:asciiTheme="minorEastAsia" w:hAnsiTheme="minorEastAsia" w:eastAsiaTheme="minorEastAsia"/>
                <w:sz w:val="24"/>
              </w:rPr>
              <w:t>；不需要缴纳社会保障金的报价供应商，应当提供相关证明材料或书面声明。代缴社保证明材料不予认可。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b/>
                <w:bCs/>
                <w:sz w:val="24"/>
                <w:szCs w:val="24"/>
              </w:rPr>
            </w:pPr>
            <w:r>
              <w:rPr>
                <w:rFonts w:hint="eastAsia" w:ascii="宋体" w:hAnsi="宋体" w:eastAsia="宋体" w:cs="宋体"/>
                <w:b/>
                <w:bCs/>
                <w:sz w:val="24"/>
                <w:szCs w:val="24"/>
              </w:rPr>
              <w:t>二、符合性审查内容</w:t>
            </w:r>
          </w:p>
        </w:tc>
        <w:tc>
          <w:tcPr>
            <w:tcW w:w="1134" w:type="dxa"/>
            <w:noWrap w:val="0"/>
            <w:vAlign w:val="center"/>
          </w:tcPr>
          <w:p>
            <w:pPr>
              <w:pStyle w:val="20"/>
              <w:rPr>
                <w:rFonts w:hint="eastAsia" w:ascii="宋体" w:hAnsi="宋体" w:eastAsia="宋体" w:cs="宋体"/>
                <w:b/>
                <w:bCs/>
                <w:sz w:val="24"/>
                <w:szCs w:val="24"/>
              </w:rPr>
            </w:pPr>
          </w:p>
        </w:tc>
        <w:tc>
          <w:tcPr>
            <w:tcW w:w="1134" w:type="dxa"/>
            <w:noWrap w:val="0"/>
            <w:vAlign w:val="center"/>
          </w:tcPr>
          <w:p>
            <w:pPr>
              <w:pStyle w:val="20"/>
              <w:rPr>
                <w:rFonts w:hint="eastAsia" w:ascii="宋体" w:hAnsi="宋体" w:eastAsia="宋体" w:cs="宋体"/>
                <w:b/>
                <w:bCs/>
                <w:sz w:val="24"/>
                <w:szCs w:val="24"/>
              </w:rPr>
            </w:pPr>
          </w:p>
        </w:tc>
        <w:tc>
          <w:tcPr>
            <w:tcW w:w="3324" w:type="dxa"/>
            <w:noWrap w:val="0"/>
            <w:vAlign w:val="center"/>
          </w:tcPr>
          <w:p>
            <w:pPr>
              <w:pStyle w:val="20"/>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1.报价书、资格证明文件密封完好</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2.报价文件签署、盖章齐全完整</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有下列情况，但其他方面符合要求应判定为不影响报价文件有效性：密封时未加盖、少加盖公章或者密封章，但是密封完好、完整标明了报价方名称且得到报价方（法定代表人或者授权代表）现场认可的；除法定代表人授权委托书，存在个别地方（总数不超过2个且占应签字地方的比例不超过20%）没有法定代表人签字，但有法定代表人的签名章或者授权代表有效签字的；除询价文件明确要求加盖供应商（法人）公章的以外，其他地方以相关专用章加盖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3.报价文件有效期满足询价文件要求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4.询价文件中“★”号条款要求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技术、商务专家分别对询价文件第二部分技术商务要求中“★”号条款响应情况作出判定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5.其它实质性内容（询价文件中明确的其他无效报价情形）</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jc w:val="center"/>
              <w:rPr>
                <w:rFonts w:hint="eastAsia" w:ascii="宋体" w:hAnsi="宋体" w:eastAsia="宋体" w:cs="宋体"/>
                <w:sz w:val="24"/>
                <w:szCs w:val="24"/>
              </w:rPr>
            </w:pPr>
            <w:r>
              <w:rPr>
                <w:rFonts w:hint="eastAsia" w:ascii="宋体" w:hAnsi="宋体" w:eastAsia="宋体" w:cs="宋体"/>
                <w:sz w:val="24"/>
                <w:szCs w:val="24"/>
              </w:rPr>
              <w:t>综合评定</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35" w:type="dxa"/>
            <w:gridSpan w:val="4"/>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说明：1.合格打“√”, 不合格打“×”。2.有一项内容不合格，综合评定为不合格。</w:t>
            </w:r>
          </w:p>
        </w:tc>
      </w:tr>
    </w:tbl>
    <w:p>
      <w:pPr>
        <w:ind w:firstLine="0" w:firstLineChars="0"/>
        <w:jc w:val="left"/>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rPr>
          <w:rFonts w:hint="default" w:ascii="黑体" w:hAnsi="黑体" w:eastAsia="黑体"/>
          <w:b w:val="0"/>
          <w:sz w:val="28"/>
          <w:szCs w:val="28"/>
          <w:lang w:val="en-US" w:eastAsia="zh-CN"/>
        </w:rPr>
      </w:pPr>
      <w:r>
        <w:br w:type="page"/>
      </w:r>
      <w:r>
        <w:rPr>
          <w:rFonts w:hint="eastAsia" w:ascii="宋体" w:hAnsi="宋体" w:eastAsia="宋体" w:cs="宋体"/>
          <w:b/>
          <w:bCs/>
          <w:sz w:val="28"/>
          <w:szCs w:val="28"/>
        </w:rPr>
        <w:t xml:space="preserve">附表2 </w:t>
      </w:r>
      <w:r>
        <w:rPr>
          <w:rFonts w:hint="eastAsia" w:ascii="宋体" w:hAnsi="宋体" w:eastAsia="宋体" w:cs="宋体"/>
          <w:b/>
          <w:bCs/>
          <w:sz w:val="28"/>
          <w:szCs w:val="28"/>
          <w:lang w:val="en-US" w:eastAsia="zh-CN"/>
        </w:rPr>
        <w:t>商务和技术评审表</w:t>
      </w:r>
    </w:p>
    <w:p>
      <w:pPr>
        <w:pStyle w:val="2"/>
      </w:pPr>
    </w:p>
    <w:p>
      <w:pPr>
        <w:pStyle w:val="19"/>
      </w:pPr>
      <w:r>
        <w:t>商务和技术评审表（经评审最低价法）</w:t>
      </w:r>
    </w:p>
    <w:p>
      <w:pPr>
        <w:ind w:firstLine="0" w:firstLineChars="0"/>
        <w:rPr>
          <w:sz w:val="28"/>
          <w:szCs w:val="28"/>
        </w:rPr>
      </w:pPr>
    </w:p>
    <w:p>
      <w:pPr>
        <w:ind w:firstLine="0" w:firstLineChars="0"/>
        <w:jc w:val="both"/>
        <w:rPr>
          <w:rFonts w:hint="default" w:eastAsia="宋体"/>
          <w:sz w:val="28"/>
          <w:szCs w:val="28"/>
          <w:u w:val="single"/>
          <w:lang w:val="en-US" w:eastAsia="zh-CN"/>
        </w:rPr>
      </w:pPr>
      <w:r>
        <w:rPr>
          <w:sz w:val="28"/>
          <w:szCs w:val="28"/>
        </w:rPr>
        <w:t>项目名称：</w:t>
      </w:r>
      <w:r>
        <w:rPr>
          <w:rFonts w:hint="eastAsia"/>
          <w:sz w:val="28"/>
          <w:szCs w:val="28"/>
          <w:u w:val="single"/>
        </w:rPr>
        <w:t xml:space="preserve">                 </w:t>
      </w:r>
      <w:r>
        <w:rPr>
          <w:sz w:val="28"/>
          <w:szCs w:val="28"/>
        </w:rPr>
        <w:t>项目编号：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 xml:space="preserve">  </w:t>
      </w:r>
      <w:r>
        <w:rPr>
          <w:sz w:val="28"/>
          <w:szCs w:val="28"/>
        </w:rPr>
        <w:t>包号：</w:t>
      </w:r>
      <w:r>
        <w:rPr>
          <w:rFonts w:hint="eastAsia"/>
          <w:sz w:val="28"/>
          <w:szCs w:val="28"/>
          <w:u w:val="single"/>
          <w:lang w:val="en-US" w:eastAsia="zh-CN"/>
        </w:rPr>
        <w:t xml:space="preserve">      </w:t>
      </w:r>
    </w:p>
    <w:tbl>
      <w:tblPr>
        <w:tblStyle w:val="12"/>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1517"/>
        <w:gridCol w:w="89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restart"/>
            <w:noWrap w:val="0"/>
            <w:vAlign w:val="center"/>
          </w:tcPr>
          <w:p>
            <w:pPr>
              <w:pStyle w:val="20"/>
              <w:jc w:val="center"/>
              <w:rPr>
                <w:b/>
                <w:bCs/>
                <w:sz w:val="24"/>
                <w:szCs w:val="24"/>
              </w:rPr>
            </w:pPr>
            <w:r>
              <w:rPr>
                <w:b/>
                <w:bCs/>
                <w:sz w:val="24"/>
                <w:szCs w:val="24"/>
              </w:rPr>
              <w:t>审查项目</w:t>
            </w:r>
          </w:p>
        </w:tc>
        <w:tc>
          <w:tcPr>
            <w:tcW w:w="2410" w:type="dxa"/>
            <w:gridSpan w:val="2"/>
            <w:noWrap w:val="0"/>
            <w:vAlign w:val="center"/>
          </w:tcPr>
          <w:p>
            <w:pPr>
              <w:pStyle w:val="20"/>
              <w:jc w:val="center"/>
              <w:rPr>
                <w:b/>
                <w:bCs/>
                <w:sz w:val="24"/>
                <w:szCs w:val="24"/>
              </w:rPr>
            </w:pPr>
            <w:r>
              <w:rPr>
                <w:b/>
                <w:bCs/>
                <w:sz w:val="24"/>
                <w:szCs w:val="24"/>
              </w:rPr>
              <w:t>是否合格</w:t>
            </w:r>
          </w:p>
        </w:tc>
        <w:tc>
          <w:tcPr>
            <w:tcW w:w="3243"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continue"/>
            <w:noWrap w:val="0"/>
            <w:vAlign w:val="center"/>
          </w:tcPr>
          <w:p>
            <w:pPr>
              <w:pStyle w:val="20"/>
              <w:rPr>
                <w:sz w:val="24"/>
                <w:szCs w:val="24"/>
              </w:rPr>
            </w:pPr>
          </w:p>
        </w:tc>
        <w:tc>
          <w:tcPr>
            <w:tcW w:w="1517" w:type="dxa"/>
            <w:noWrap w:val="0"/>
            <w:vAlign w:val="center"/>
          </w:tcPr>
          <w:p>
            <w:pPr>
              <w:pStyle w:val="20"/>
              <w:jc w:val="center"/>
              <w:rPr>
                <w:b/>
                <w:bCs/>
                <w:sz w:val="24"/>
                <w:szCs w:val="24"/>
              </w:rPr>
            </w:pPr>
            <w:r>
              <w:rPr>
                <w:b/>
                <w:bCs/>
                <w:sz w:val="24"/>
                <w:szCs w:val="24"/>
              </w:rPr>
              <w:t>报价方</w:t>
            </w:r>
          </w:p>
        </w:tc>
        <w:tc>
          <w:tcPr>
            <w:tcW w:w="893" w:type="dxa"/>
            <w:noWrap w:val="0"/>
            <w:vAlign w:val="center"/>
          </w:tcPr>
          <w:p>
            <w:pPr>
              <w:pStyle w:val="20"/>
              <w:jc w:val="center"/>
              <w:rPr>
                <w:b/>
                <w:bCs/>
                <w:sz w:val="24"/>
                <w:szCs w:val="24"/>
              </w:rPr>
            </w:pPr>
            <w:r>
              <w:rPr>
                <w:b/>
                <w:bCs/>
                <w:sz w:val="24"/>
                <w:szCs w:val="24"/>
              </w:rPr>
              <w:t>……</w:t>
            </w:r>
          </w:p>
        </w:tc>
        <w:tc>
          <w:tcPr>
            <w:tcW w:w="3243"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一、商务审查内容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1.交货时间、地点与方式等满足询价文件要求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2.售后服务等指标满足询价文件要求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3.专利权和保密要求等满足询价文件要求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4.</w:t>
            </w:r>
            <w:r>
              <w:rPr>
                <w:color w:val="auto"/>
                <w:sz w:val="24"/>
                <w:szCs w:val="24"/>
                <w:lang w:val="zh-CN"/>
              </w:rPr>
              <w:t>付款及结算方式</w:t>
            </w:r>
            <w:r>
              <w:rPr>
                <w:color w:val="auto"/>
                <w:sz w:val="24"/>
                <w:szCs w:val="24"/>
              </w:rPr>
              <w:t>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rFonts w:hint="default"/>
                <w:color w:val="auto"/>
                <w:sz w:val="24"/>
                <w:szCs w:val="24"/>
              </w:rPr>
            </w:pPr>
            <w:r>
              <w:rPr>
                <w:color w:val="auto"/>
                <w:sz w:val="24"/>
                <w:szCs w:val="24"/>
              </w:rPr>
              <w:t>5.质量保证金满足询价文件要求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二、技术审查内容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1.报价供应商产品参数满足询价文件所有技术参数要求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237" w:type="dxa"/>
            <w:noWrap w:val="0"/>
            <w:vAlign w:val="center"/>
          </w:tcPr>
          <w:p>
            <w:pPr>
              <w:pStyle w:val="20"/>
              <w:jc w:val="center"/>
              <w:rPr>
                <w:sz w:val="24"/>
                <w:szCs w:val="24"/>
              </w:rPr>
            </w:pPr>
            <w:r>
              <w:rPr>
                <w:sz w:val="24"/>
                <w:szCs w:val="24"/>
              </w:rPr>
              <w:t>综合评定</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90" w:type="dxa"/>
            <w:gridSpan w:val="4"/>
            <w:noWrap w:val="0"/>
            <w:vAlign w:val="center"/>
          </w:tcPr>
          <w:p>
            <w:pPr>
              <w:pStyle w:val="20"/>
              <w:rPr>
                <w:sz w:val="24"/>
                <w:szCs w:val="24"/>
              </w:rPr>
            </w:pPr>
            <w:r>
              <w:rPr>
                <w:sz w:val="24"/>
                <w:szCs w:val="24"/>
              </w:rPr>
              <w:t>说明：1.合格打“√”, 不合格打“×”。2.有一项内容不合格，综合评定为不合格。</w:t>
            </w:r>
          </w:p>
          <w:p>
            <w:pPr>
              <w:pStyle w:val="20"/>
              <w:rPr>
                <w:sz w:val="24"/>
                <w:szCs w:val="24"/>
              </w:rPr>
            </w:pPr>
            <w:r>
              <w:rPr>
                <w:sz w:val="24"/>
                <w:szCs w:val="24"/>
              </w:rPr>
              <w:t>3.军队单位、事业单位等，如有别名的，应提供其为同一单位的书面声明。</w:t>
            </w:r>
          </w:p>
        </w:tc>
      </w:tr>
    </w:tbl>
    <w:p>
      <w:pPr>
        <w:ind w:firstLine="0" w:firstLineChars="0"/>
        <w:jc w:val="both"/>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spacing w:before="120" w:beforeLines="50" w:after="120" w:afterLines="50" w:line="560" w:lineRule="exact"/>
        <w:jc w:val="center"/>
        <w:rPr>
          <w:rFonts w:hint="eastAsia" w:ascii="黑体" w:hAnsi="黑体" w:eastAsia="黑体" w:cs="黑体"/>
          <w:bCs/>
          <w:sz w:val="36"/>
          <w:szCs w:val="36"/>
        </w:rPr>
      </w:pPr>
    </w:p>
    <w:p>
      <w:pPr>
        <w:pStyle w:val="2"/>
        <w:rPr>
          <w:rFonts w:hint="eastAsia" w:ascii="黑体" w:hAnsi="黑体" w:eastAsia="黑体"/>
          <w:b w:val="0"/>
          <w:sz w:val="28"/>
          <w:szCs w:val="28"/>
        </w:rPr>
      </w:pPr>
      <w:bookmarkStart w:id="404" w:name="_Toc132399041"/>
      <w:bookmarkStart w:id="405" w:name="_Toc8677"/>
      <w:bookmarkStart w:id="406" w:name="_Toc29198"/>
      <w:bookmarkStart w:id="407" w:name="_Toc128772331"/>
      <w:bookmarkStart w:id="408" w:name="_Toc3729"/>
      <w:bookmarkStart w:id="409" w:name="_Toc24670"/>
      <w:bookmarkStart w:id="410" w:name="_Toc130887806"/>
      <w:bookmarkStart w:id="411" w:name="_Toc154562968"/>
      <w:bookmarkStart w:id="412" w:name="_Toc128150566"/>
      <w:bookmarkStart w:id="413" w:name="_Toc150351566"/>
      <w:bookmarkStart w:id="414" w:name="_Toc121473162"/>
      <w:bookmarkStart w:id="415" w:name="_Toc23146"/>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hint="eastAsia"/>
        </w:rPr>
        <w:br w:type="page"/>
      </w:r>
      <w:bookmarkEnd w:id="404"/>
      <w:bookmarkEnd w:id="405"/>
      <w:bookmarkEnd w:id="406"/>
      <w:bookmarkEnd w:id="407"/>
      <w:bookmarkEnd w:id="408"/>
      <w:bookmarkEnd w:id="409"/>
      <w:bookmarkEnd w:id="410"/>
      <w:bookmarkEnd w:id="411"/>
      <w:bookmarkEnd w:id="412"/>
      <w:bookmarkEnd w:id="413"/>
      <w:bookmarkEnd w:id="414"/>
      <w:bookmarkEnd w:id="415"/>
      <w:r>
        <w:rPr>
          <w:rFonts w:hint="eastAsia" w:ascii="Times New Roman" w:hAnsi="Times New Roman" w:eastAsia="方正小标宋简体" w:cs="Times New Roman"/>
          <w:kern w:val="44"/>
          <w:sz w:val="44"/>
          <w:szCs w:val="28"/>
          <w:lang w:val="en-US" w:eastAsia="zh-CN"/>
        </w:rPr>
        <w:t>商务与技术需求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一、</w:t>
      </w:r>
      <w:r>
        <w:rPr>
          <w:rFonts w:ascii="Times New Roman" w:hAnsi="Times New Roman" w:eastAsia="黑体" w:cs="Times New Roman"/>
          <w:kern w:val="2"/>
          <w:sz w:val="32"/>
          <w:szCs w:val="32"/>
        </w:rPr>
        <w:t>采购需求一览表</w:t>
      </w:r>
    </w:p>
    <w:p>
      <w:pPr>
        <w:pStyle w:val="2"/>
        <w:keepNext w:val="0"/>
        <w:keepLines w:val="0"/>
        <w:pageBreakBefore w:val="0"/>
        <w:numPr>
          <w:ilvl w:val="0"/>
          <w:numId w:val="0"/>
        </w:numPr>
        <w:kinsoku/>
        <w:wordWrap/>
        <w:overflowPunct/>
        <w:topLinePunct w:val="0"/>
        <w:autoSpaceDE/>
        <w:autoSpaceDN/>
        <w:bidi w:val="0"/>
        <w:spacing w:line="360" w:lineRule="auto"/>
      </w:pP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2880"/>
        <w:gridCol w:w="2095"/>
        <w:gridCol w:w="1358"/>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77"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ascii="Times New Roman" w:hAnsi="Times New Roman" w:eastAsia="黑体" w:cs="Times New Roman"/>
                <w:kern w:val="2"/>
              </w:rPr>
            </w:pPr>
            <w:r>
              <w:rPr>
                <w:rFonts w:hint="default" w:ascii="Times New Roman" w:hAnsi="Times New Roman" w:eastAsia="宋体" w:cs="Times New Roman"/>
                <w:kern w:val="0"/>
                <w:sz w:val="28"/>
                <w:szCs w:val="28"/>
              </w:rPr>
              <w:t>序号</w:t>
            </w:r>
          </w:p>
        </w:tc>
        <w:tc>
          <w:tcPr>
            <w:tcW w:w="2881"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名称</w:t>
            </w:r>
          </w:p>
        </w:tc>
        <w:tc>
          <w:tcPr>
            <w:tcW w:w="2095"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技术要求</w:t>
            </w:r>
          </w:p>
        </w:tc>
        <w:tc>
          <w:tcPr>
            <w:tcW w:w="1358"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数量</w:t>
            </w:r>
          </w:p>
        </w:tc>
        <w:tc>
          <w:tcPr>
            <w:tcW w:w="2153"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77"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w:t>
            </w:r>
          </w:p>
        </w:tc>
        <w:tc>
          <w:tcPr>
            <w:tcW w:w="2881"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个体粉尘暴露仪</w:t>
            </w:r>
          </w:p>
        </w:tc>
        <w:tc>
          <w:tcPr>
            <w:tcW w:w="209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详见第三部分</w:t>
            </w:r>
          </w:p>
        </w:tc>
        <w:tc>
          <w:tcPr>
            <w:tcW w:w="1358"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2153"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77"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2</w:t>
            </w:r>
          </w:p>
        </w:tc>
        <w:tc>
          <w:tcPr>
            <w:tcW w:w="2881"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cs="Times New Roman"/>
                <w:kern w:val="2"/>
                <w:sz w:val="28"/>
                <w:szCs w:val="28"/>
                <w:lang w:val="en-US" w:eastAsia="zh-CN"/>
              </w:rPr>
            </w:pPr>
            <w:r>
              <w:rPr>
                <w:rFonts w:hint="eastAsia" w:ascii="Times New Roman" w:hAnsi="Times New Roman" w:cs="Times New Roman"/>
                <w:kern w:val="2"/>
                <w:sz w:val="28"/>
                <w:szCs w:val="28"/>
                <w:lang w:val="en-US" w:eastAsia="zh-CN"/>
              </w:rPr>
              <w:t>环境颗粒物检测仪</w:t>
            </w:r>
          </w:p>
        </w:tc>
        <w:tc>
          <w:tcPr>
            <w:tcW w:w="209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详见第三部分</w:t>
            </w:r>
          </w:p>
        </w:tc>
        <w:tc>
          <w:tcPr>
            <w:tcW w:w="1358"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2153"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台</w:t>
            </w: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二、</w:t>
      </w:r>
      <w:r>
        <w:rPr>
          <w:rFonts w:ascii="Times New Roman" w:hAnsi="Times New Roman" w:eastAsia="黑体" w:cs="Times New Roman"/>
          <w:kern w:val="2"/>
          <w:sz w:val="32"/>
          <w:szCs w:val="32"/>
        </w:rPr>
        <w:t>技术需求</w:t>
      </w:r>
    </w:p>
    <w:p>
      <w:pPr>
        <w:pStyle w:val="2"/>
        <w:keepNext w:val="0"/>
        <w:keepLines w:val="0"/>
        <w:pageBreakBefore w:val="0"/>
        <w:numPr>
          <w:ilvl w:val="0"/>
          <w:numId w:val="0"/>
        </w:numPr>
        <w:kinsoku/>
        <w:wordWrap/>
        <w:overflowPunct/>
        <w:topLinePunct w:val="0"/>
        <w:autoSpaceDE/>
        <w:autoSpaceDN/>
        <w:bidi w:val="0"/>
        <w:spacing w:line="360" w:lineRule="auto"/>
        <w:ind w:leftChars="200"/>
      </w:pPr>
    </w:p>
    <w:p>
      <w:pPr>
        <w:spacing w:line="520" w:lineRule="exact"/>
        <w:jc w:val="center"/>
        <w:rPr>
          <w:rFonts w:ascii="Times New Roman" w:hAnsi="Times New Roman" w:eastAsia="黑体" w:cs="Times New Roman"/>
          <w:bCs/>
          <w:kern w:val="0"/>
          <w:sz w:val="32"/>
          <w:szCs w:val="44"/>
        </w:rPr>
      </w:pPr>
      <w:r>
        <w:rPr>
          <w:rFonts w:ascii="Times New Roman" w:hAnsi="Times New Roman" w:eastAsia="黑体" w:cs="Times New Roman"/>
          <w:bCs/>
          <w:kern w:val="0"/>
          <w:sz w:val="32"/>
          <w:szCs w:val="44"/>
        </w:rPr>
        <w:t>个体暴露粉尘仪技术参数确认表</w:t>
      </w:r>
    </w:p>
    <w:p>
      <w:pPr>
        <w:spacing w:line="520" w:lineRule="exact"/>
        <w:jc w:val="center"/>
        <w:rPr>
          <w:rFonts w:ascii="Times New Roman" w:hAnsi="Times New Roman" w:cs="Times New Roman"/>
          <w:bCs/>
          <w:kern w:val="0"/>
          <w:sz w:val="32"/>
          <w:szCs w:val="32"/>
        </w:rPr>
      </w:pPr>
    </w:p>
    <w:tbl>
      <w:tblPr>
        <w:tblStyle w:val="12"/>
        <w:tblW w:w="9640" w:type="dxa"/>
        <w:tblInd w:w="-176" w:type="dxa"/>
        <w:tblLayout w:type="fixed"/>
        <w:tblCellMar>
          <w:top w:w="0" w:type="dxa"/>
          <w:left w:w="108" w:type="dxa"/>
          <w:bottom w:w="0" w:type="dxa"/>
          <w:right w:w="108" w:type="dxa"/>
        </w:tblCellMar>
      </w:tblPr>
      <w:tblGrid>
        <w:gridCol w:w="1135"/>
        <w:gridCol w:w="1701"/>
        <w:gridCol w:w="4961"/>
        <w:gridCol w:w="1843"/>
      </w:tblGrid>
      <w:tr>
        <w:tblPrEx>
          <w:tblCellMar>
            <w:top w:w="0" w:type="dxa"/>
            <w:left w:w="108" w:type="dxa"/>
            <w:bottom w:w="0" w:type="dxa"/>
            <w:right w:w="108" w:type="dxa"/>
          </w:tblCellMar>
        </w:tblPrEx>
        <w:trPr>
          <w:trHeight w:val="824" w:hRule="atLeast"/>
        </w:trPr>
        <w:tc>
          <w:tcPr>
            <w:tcW w:w="1135" w:type="dxa"/>
            <w:tcBorders>
              <w:top w:val="single" w:color="auto" w:sz="8" w:space="0"/>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序号</w:t>
            </w:r>
          </w:p>
        </w:tc>
        <w:tc>
          <w:tcPr>
            <w:tcW w:w="170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技术和性能参数名称</w:t>
            </w:r>
          </w:p>
        </w:tc>
        <w:tc>
          <w:tcPr>
            <w:tcW w:w="496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技术参数和性能要求</w:t>
            </w:r>
          </w:p>
        </w:tc>
        <w:tc>
          <w:tcPr>
            <w:tcW w:w="1843" w:type="dxa"/>
            <w:tcBorders>
              <w:top w:val="single" w:color="auto" w:sz="8" w:space="0"/>
              <w:left w:val="nil"/>
              <w:bottom w:val="single" w:color="auto" w:sz="4" w:space="0"/>
              <w:right w:val="single" w:color="auto" w:sz="8" w:space="0"/>
            </w:tcBorders>
            <w:vAlign w:val="center"/>
          </w:tcPr>
          <w:p>
            <w:pPr>
              <w:widowControl/>
              <w:jc w:val="center"/>
              <w:rPr>
                <w:rFonts w:hint="default" w:ascii="Times New Roman" w:hAnsi="Times New Roman" w:eastAsia="幼圆" w:cs="Times New Roman"/>
                <w:b/>
                <w:bCs/>
                <w:kern w:val="0"/>
                <w:sz w:val="24"/>
                <w:szCs w:val="24"/>
              </w:rPr>
            </w:pPr>
            <w:r>
              <w:rPr>
                <w:rFonts w:hint="default" w:ascii="Times New Roman" w:hAnsi="Times New Roman" w:cs="Times New Roman"/>
                <w:b/>
                <w:bCs/>
                <w:kern w:val="0"/>
                <w:sz w:val="24"/>
                <w:szCs w:val="24"/>
              </w:rPr>
              <w:t>备注</w:t>
            </w:r>
          </w:p>
        </w:tc>
      </w:tr>
      <w:tr>
        <w:tblPrEx>
          <w:tblCellMar>
            <w:top w:w="0" w:type="dxa"/>
            <w:left w:w="108" w:type="dxa"/>
            <w:bottom w:w="0" w:type="dxa"/>
            <w:right w:w="108" w:type="dxa"/>
          </w:tblCellMar>
        </w:tblPrEx>
        <w:trPr>
          <w:trHeight w:val="668"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设备使用需求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b/>
                <w:bCs/>
                <w:kern w:val="0"/>
                <w:sz w:val="24"/>
                <w:szCs w:val="24"/>
              </w:rPr>
            </w:pPr>
          </w:p>
        </w:tc>
      </w:tr>
      <w:tr>
        <w:tblPrEx>
          <w:tblCellMar>
            <w:top w:w="0" w:type="dxa"/>
            <w:left w:w="108" w:type="dxa"/>
            <w:bottom w:w="0" w:type="dxa"/>
            <w:right w:w="108" w:type="dxa"/>
          </w:tblCellMar>
        </w:tblPrEx>
        <w:trPr>
          <w:trHeight w:val="692"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lang w:bidi="zh-CN"/>
              </w:rPr>
            </w:pPr>
            <w:r>
              <w:rPr>
                <w:rFonts w:hint="default" w:ascii="Times New Roman" w:hAnsi="Times New Roman" w:cs="Times New Roman"/>
                <w:kern w:val="0"/>
                <w:sz w:val="24"/>
                <w:szCs w:val="24"/>
                <w:lang w:bidi="zh-CN"/>
              </w:rPr>
              <w:t>设备用途</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lang w:bidi="zh-CN"/>
              </w:rPr>
            </w:pPr>
            <w:r>
              <w:rPr>
                <w:rFonts w:hint="default" w:ascii="Times New Roman" w:hAnsi="Times New Roman" w:cs="Times New Roman"/>
                <w:kern w:val="0"/>
                <w:sz w:val="24"/>
                <w:szCs w:val="24"/>
                <w:lang w:bidi="zh-CN"/>
              </w:rPr>
              <w:t>能够提供工人呼吸区域的粉尘、烟、雾、烟气和雾气的实时气溶胶质量浓度读数，并能够进行PM10、呼吸性粉尘 (PM4)、 PM5 (中国呼吸性粉尘)、PM2.5、PM1 以及0.8μm 柴油机排放颗粒物 (DPM)不同粒径切割点的测量</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13" w:hRule="atLeast"/>
        </w:trPr>
        <w:tc>
          <w:tcPr>
            <w:tcW w:w="1135"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1.2</w:t>
            </w:r>
          </w:p>
        </w:tc>
        <w:tc>
          <w:tcPr>
            <w:tcW w:w="170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实验对象</w:t>
            </w:r>
          </w:p>
        </w:tc>
        <w:tc>
          <w:tcPr>
            <w:tcW w:w="496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zh-CN"/>
              </w:rPr>
              <w:t>公共卫生作业场所以及职业卫生作业场所</w:t>
            </w:r>
          </w:p>
        </w:tc>
        <w:tc>
          <w:tcPr>
            <w:tcW w:w="1843"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65"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1.3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特殊功能需求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Cs/>
                <w:kern w:val="0"/>
                <w:sz w:val="24"/>
                <w:szCs w:val="24"/>
                <w:lang w:val="en-US" w:eastAsia="zh-CN"/>
              </w:rPr>
            </w:pPr>
            <w:r>
              <w:rPr>
                <w:rFonts w:hint="eastAsia" w:ascii="Times New Roman" w:hAnsi="Times New Roman" w:cs="Times New Roman"/>
                <w:bCs/>
                <w:kern w:val="0"/>
                <w:sz w:val="24"/>
                <w:szCs w:val="24"/>
                <w:lang w:val="en-US" w:eastAsia="zh-CN"/>
              </w:rPr>
              <w:t>无</w:t>
            </w:r>
          </w:p>
        </w:tc>
        <w:tc>
          <w:tcPr>
            <w:tcW w:w="1843" w:type="dxa"/>
            <w:tcBorders>
              <w:top w:val="nil"/>
              <w:left w:val="nil"/>
              <w:bottom w:val="single" w:color="auto" w:sz="4" w:space="0"/>
              <w:right w:val="single" w:color="auto" w:sz="8" w:space="0"/>
            </w:tcBorders>
            <w:vAlign w:val="center"/>
          </w:tcPr>
          <w:p>
            <w:pPr>
              <w:widowControl/>
              <w:rPr>
                <w:rFonts w:hint="default" w:ascii="Times New Roman" w:hAnsi="Times New Roman" w:cs="Times New Roman"/>
                <w:b/>
                <w:bCs/>
                <w:kern w:val="0"/>
                <w:sz w:val="24"/>
                <w:szCs w:val="24"/>
              </w:rPr>
            </w:pPr>
          </w:p>
        </w:tc>
      </w:tr>
      <w:tr>
        <w:tblPrEx>
          <w:tblCellMar>
            <w:top w:w="0" w:type="dxa"/>
            <w:left w:w="108" w:type="dxa"/>
            <w:bottom w:w="0" w:type="dxa"/>
            <w:right w:w="108" w:type="dxa"/>
          </w:tblCellMar>
        </w:tblPrEx>
        <w:trPr>
          <w:trHeight w:val="9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主要技术参数</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105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参数1</w:t>
            </w:r>
          </w:p>
        </w:tc>
        <w:tc>
          <w:tcPr>
            <w:tcW w:w="4961" w:type="dxa"/>
            <w:tcBorders>
              <w:top w:val="nil"/>
              <w:left w:val="nil"/>
              <w:bottom w:val="single" w:color="auto" w:sz="4" w:space="0"/>
              <w:right w:val="single" w:color="auto" w:sz="4" w:space="0"/>
            </w:tcBorders>
            <w:vAlign w:val="center"/>
          </w:tcPr>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可进行</w:t>
            </w:r>
            <w:r>
              <w:rPr>
                <w:rFonts w:hint="default" w:ascii="Times New Roman" w:hAnsi="Times New Roman" w:cs="Times New Roman"/>
                <w:sz w:val="24"/>
                <w:szCs w:val="24"/>
              </w:rPr>
              <w:t>呼吸性粉尘检测（中国标准）：内置呼吸性粉尘PM5物理粒径切割器</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spacing w:val="-5"/>
                <w:kern w:val="0"/>
                <w:sz w:val="24"/>
                <w:szCs w:val="24"/>
                <w:lang w:bidi="zh-CN"/>
              </w:rPr>
            </w:pPr>
          </w:p>
          <w:p>
            <w:pPr>
              <w:pStyle w:val="2"/>
              <w:spacing w:line="240" w:lineRule="auto"/>
              <w:ind w:firstLine="0" w:firstLineChars="0"/>
              <w:jc w:val="center"/>
              <w:rPr>
                <w:rFonts w:hint="default" w:ascii="Times New Roman" w:hAnsi="Times New Roman" w:cs="Times New Roman"/>
                <w:kern w:val="0"/>
                <w:sz w:val="24"/>
                <w:szCs w:val="24"/>
                <w:lang w:bidi="zh-CN"/>
              </w:rPr>
            </w:pPr>
          </w:p>
        </w:tc>
      </w:tr>
      <w:tr>
        <w:tblPrEx>
          <w:tblCellMar>
            <w:top w:w="0" w:type="dxa"/>
            <w:left w:w="108" w:type="dxa"/>
            <w:bottom w:w="0" w:type="dxa"/>
            <w:right w:w="108" w:type="dxa"/>
          </w:tblCellMar>
        </w:tblPrEx>
        <w:trPr>
          <w:trHeight w:val="6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sz w:val="24"/>
                <w:szCs w:val="24"/>
              </w:rPr>
              <w:t>★</w:t>
            </w:r>
            <w:r>
              <w:rPr>
                <w:rFonts w:hint="default" w:ascii="Times New Roman" w:hAnsi="Times New Roman" w:cs="Times New Roman"/>
                <w:kern w:val="0"/>
                <w:sz w:val="24"/>
                <w:szCs w:val="24"/>
              </w:rPr>
              <w:t>参数2</w:t>
            </w:r>
          </w:p>
        </w:tc>
        <w:tc>
          <w:tcPr>
            <w:tcW w:w="4961" w:type="dxa"/>
            <w:tcBorders>
              <w:top w:val="nil"/>
              <w:left w:val="nil"/>
              <w:bottom w:val="single" w:color="auto" w:sz="4" w:space="0"/>
              <w:right w:val="single" w:color="auto" w:sz="4" w:space="0"/>
            </w:tcBorders>
            <w:vAlign w:val="center"/>
          </w:tcPr>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可检测粒径种类</w:t>
            </w:r>
            <w:r>
              <w:rPr>
                <w:rFonts w:hint="default" w:ascii="Times New Roman" w:hAnsi="Times New Roman" w:cs="Times New Roman"/>
                <w:sz w:val="24"/>
                <w:szCs w:val="24"/>
                <w:lang w:val="en-US" w:eastAsia="zh-CN"/>
              </w:rPr>
              <w:t>包括但不限于</w:t>
            </w:r>
            <w:r>
              <w:rPr>
                <w:rFonts w:hint="default" w:ascii="Times New Roman" w:hAnsi="Times New Roman" w:cs="Times New Roman"/>
                <w:sz w:val="24"/>
                <w:szCs w:val="24"/>
              </w:rPr>
              <w:t>：DPM, PM1，PM2.5，PM4，PM5，PM10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▲参数3</w:t>
            </w:r>
          </w:p>
        </w:tc>
        <w:tc>
          <w:tcPr>
            <w:tcW w:w="4961" w:type="dxa"/>
            <w:tcBorders>
              <w:top w:val="nil"/>
              <w:left w:val="nil"/>
              <w:bottom w:val="single" w:color="auto" w:sz="4" w:space="0"/>
              <w:right w:val="single" w:color="auto" w:sz="4" w:space="0"/>
            </w:tcBorders>
            <w:vAlign w:val="center"/>
          </w:tcPr>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粒径范围</w:t>
            </w:r>
            <w:r>
              <w:rPr>
                <w:rFonts w:hint="default" w:ascii="Times New Roman" w:hAnsi="Times New Roman" w:cs="Times New Roman"/>
                <w:sz w:val="24"/>
                <w:szCs w:val="24"/>
                <w:lang w:val="en-US" w:eastAsia="zh-CN"/>
              </w:rPr>
              <w:t>至少完全覆盖</w:t>
            </w:r>
            <w:r>
              <w:rPr>
                <w:rFonts w:hint="default" w:ascii="Times New Roman" w:hAnsi="Times New Roman" w:cs="Times New Roman"/>
                <w:sz w:val="24"/>
                <w:szCs w:val="24"/>
              </w:rPr>
              <w:t>：0.1</w:t>
            </w:r>
            <w:r>
              <w:rPr>
                <w:rFonts w:hint="default" w:ascii="Times New Roman" w:hAnsi="Times New Roman" w:cs="Times New Roman"/>
                <w:kern w:val="0"/>
                <w:sz w:val="24"/>
                <w:szCs w:val="24"/>
                <w:lang w:bidi="zh-CN"/>
              </w:rPr>
              <w:t>μm</w:t>
            </w:r>
            <w:r>
              <w:rPr>
                <w:rFonts w:hint="default" w:ascii="Times New Roman" w:hAnsi="Times New Roman" w:cs="Times New Roman"/>
                <w:sz w:val="24"/>
                <w:szCs w:val="24"/>
              </w:rPr>
              <w:t>到10</w:t>
            </w:r>
            <w:r>
              <w:rPr>
                <w:rFonts w:hint="default" w:ascii="Times New Roman" w:hAnsi="Times New Roman" w:cs="Times New Roman"/>
                <w:kern w:val="0"/>
                <w:sz w:val="24"/>
                <w:szCs w:val="24"/>
                <w:lang w:bidi="zh-CN"/>
              </w:rPr>
              <w:t>μm</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2.4</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▲参数4</w:t>
            </w:r>
          </w:p>
        </w:tc>
        <w:tc>
          <w:tcPr>
            <w:tcW w:w="4961" w:type="dxa"/>
            <w:tcBorders>
              <w:top w:val="nil"/>
              <w:left w:val="nil"/>
              <w:bottom w:val="single" w:color="auto" w:sz="4" w:space="0"/>
              <w:right w:val="single" w:color="auto" w:sz="4" w:space="0"/>
            </w:tcBorders>
            <w:vAlign w:val="center"/>
          </w:tcPr>
          <w:p>
            <w:pPr>
              <w:spacing w:line="360" w:lineRule="auto"/>
              <w:rPr>
                <w:rFonts w:hint="default" w:ascii="Times New Roman" w:hAnsi="Times New Roman" w:cs="Times New Roman"/>
                <w:sz w:val="24"/>
                <w:szCs w:val="24"/>
                <w:lang w:bidi="ar"/>
              </w:rPr>
            </w:pPr>
            <w:r>
              <w:rPr>
                <w:rFonts w:hint="default" w:ascii="Times New Roman" w:hAnsi="Times New Roman" w:cs="Times New Roman"/>
                <w:sz w:val="24"/>
                <w:szCs w:val="24"/>
              </w:rPr>
              <w:t>浓度范围</w:t>
            </w:r>
            <w:r>
              <w:rPr>
                <w:rFonts w:hint="default" w:ascii="Times New Roman" w:hAnsi="Times New Roman" w:cs="Times New Roman"/>
                <w:sz w:val="24"/>
                <w:szCs w:val="24"/>
                <w:lang w:val="en-US" w:eastAsia="zh-CN"/>
              </w:rPr>
              <w:t>至少完全覆盖</w:t>
            </w:r>
            <w:r>
              <w:rPr>
                <w:rFonts w:hint="default" w:ascii="Times New Roman" w:hAnsi="Times New Roman" w:cs="Times New Roman"/>
                <w:sz w:val="24"/>
                <w:szCs w:val="24"/>
              </w:rPr>
              <w:t>：0.001mg/m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到100mg/m</w:t>
            </w:r>
            <w:r>
              <w:rPr>
                <w:rFonts w:hint="default" w:ascii="Times New Roman" w:hAnsi="Times New Roman" w:cs="Times New Roman"/>
                <w:sz w:val="24"/>
                <w:szCs w:val="24"/>
                <w:vertAlign w:val="superscript"/>
              </w:rPr>
              <w:t>3</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2.5</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▲参数5</w:t>
            </w:r>
          </w:p>
        </w:tc>
        <w:tc>
          <w:tcPr>
            <w:tcW w:w="4961" w:type="dxa"/>
            <w:tcBorders>
              <w:top w:val="nil"/>
              <w:left w:val="nil"/>
              <w:bottom w:val="single" w:color="auto" w:sz="4" w:space="0"/>
              <w:right w:val="single" w:color="auto" w:sz="4" w:space="0"/>
            </w:tcBorders>
            <w:vAlign w:val="center"/>
          </w:tcPr>
          <w:p>
            <w:pPr>
              <w:spacing w:line="360" w:lineRule="auto"/>
              <w:rPr>
                <w:rFonts w:hint="default" w:ascii="Times New Roman" w:hAnsi="Times New Roman" w:cs="Times New Roman"/>
                <w:sz w:val="24"/>
                <w:szCs w:val="24"/>
                <w:lang w:bidi="ar"/>
              </w:rPr>
            </w:pPr>
            <w:r>
              <w:rPr>
                <w:rFonts w:hint="default" w:ascii="Times New Roman" w:hAnsi="Times New Roman" w:cs="Times New Roman"/>
                <w:sz w:val="24"/>
                <w:szCs w:val="24"/>
              </w:rPr>
              <w:t>报警浓度设定</w:t>
            </w:r>
            <w:r>
              <w:rPr>
                <w:rFonts w:hint="default" w:ascii="Times New Roman" w:hAnsi="Times New Roman" w:cs="Times New Roman"/>
                <w:sz w:val="24"/>
                <w:szCs w:val="24"/>
                <w:lang w:val="en-US" w:eastAsia="zh-CN"/>
              </w:rPr>
              <w:t>至少应包含</w:t>
            </w:r>
            <w:r>
              <w:rPr>
                <w:rFonts w:hint="default" w:ascii="Times New Roman" w:hAnsi="Times New Roman" w:cs="Times New Roman"/>
                <w:sz w:val="24"/>
                <w:szCs w:val="24"/>
              </w:rPr>
              <w:t>：0.5 mg/m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，1 mg/m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，3 mg/m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，5 mg/m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，15 mg/m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，关闭（可通过软件修改报警值）</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2.6</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参数6</w:t>
            </w:r>
          </w:p>
        </w:tc>
        <w:tc>
          <w:tcPr>
            <w:tcW w:w="4961" w:type="dxa"/>
            <w:tcBorders>
              <w:top w:val="nil"/>
              <w:left w:val="nil"/>
              <w:bottom w:val="single" w:color="auto" w:sz="4" w:space="0"/>
              <w:right w:val="single" w:color="auto" w:sz="4" w:space="0"/>
            </w:tcBorders>
            <w:vAlign w:val="center"/>
          </w:tcPr>
          <w:p>
            <w:pPr>
              <w:spacing w:line="360" w:lineRule="auto"/>
              <w:rPr>
                <w:rFonts w:hint="default" w:ascii="Times New Roman" w:hAnsi="Times New Roman" w:eastAsia="宋体" w:cs="Times New Roman"/>
                <w:sz w:val="24"/>
                <w:szCs w:val="24"/>
                <w:lang w:val="en-US" w:eastAsia="zh-CN" w:bidi="ar"/>
              </w:rPr>
            </w:pPr>
            <w:r>
              <w:rPr>
                <w:rFonts w:hint="default" w:ascii="Times New Roman" w:hAnsi="Times New Roman" w:cs="Times New Roman"/>
                <w:sz w:val="24"/>
                <w:szCs w:val="24"/>
                <w:lang w:val="en-US" w:eastAsia="zh-CN" w:bidi="ar"/>
              </w:rPr>
              <w:t>具备报警功能</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2.7</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参数7</w:t>
            </w:r>
          </w:p>
        </w:tc>
        <w:tc>
          <w:tcPr>
            <w:tcW w:w="4961" w:type="dxa"/>
            <w:tcBorders>
              <w:top w:val="nil"/>
              <w:left w:val="nil"/>
              <w:bottom w:val="single" w:color="auto" w:sz="4" w:space="0"/>
              <w:right w:val="single" w:color="auto" w:sz="4" w:space="0"/>
            </w:tcBorders>
            <w:vAlign w:val="center"/>
          </w:tcPr>
          <w:p>
            <w:pPr>
              <w:spacing w:line="360" w:lineRule="auto"/>
              <w:rPr>
                <w:rFonts w:hint="default" w:ascii="Times New Roman" w:hAnsi="Times New Roman" w:cs="Times New Roman"/>
                <w:sz w:val="24"/>
                <w:szCs w:val="24"/>
                <w:lang w:bidi="ar"/>
              </w:rPr>
            </w:pPr>
            <w:r>
              <w:rPr>
                <w:rFonts w:hint="default" w:ascii="Times New Roman" w:hAnsi="Times New Roman" w:cs="Times New Roman"/>
                <w:sz w:val="24"/>
                <w:szCs w:val="24"/>
              </w:rPr>
              <w:t>数据记录点：</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80000个</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2.8</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参数8</w:t>
            </w:r>
          </w:p>
        </w:tc>
        <w:tc>
          <w:tcPr>
            <w:tcW w:w="4961" w:type="dxa"/>
            <w:tcBorders>
              <w:top w:val="nil"/>
              <w:left w:val="nil"/>
              <w:bottom w:val="single" w:color="auto" w:sz="4" w:space="0"/>
              <w:right w:val="single" w:color="auto" w:sz="4" w:space="0"/>
            </w:tcBorders>
            <w:vAlign w:val="center"/>
          </w:tcPr>
          <w:p>
            <w:pPr>
              <w:spacing w:line="360" w:lineRule="auto"/>
              <w:rPr>
                <w:rFonts w:hint="default" w:ascii="Times New Roman" w:hAnsi="Times New Roman" w:cs="Times New Roman"/>
                <w:sz w:val="24"/>
                <w:szCs w:val="24"/>
                <w:lang w:bidi="ar"/>
              </w:rPr>
            </w:pPr>
            <w:r>
              <w:rPr>
                <w:rFonts w:hint="default" w:ascii="Times New Roman" w:hAnsi="Times New Roman" w:cs="Times New Roman"/>
                <w:sz w:val="24"/>
                <w:szCs w:val="24"/>
              </w:rPr>
              <w:t>记录时间间隔：1到60s可调</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2.</w:t>
            </w:r>
            <w:r>
              <w:rPr>
                <w:rFonts w:hint="default" w:ascii="Times New Roman" w:hAnsi="Times New Roman" w:cs="Times New Roman"/>
                <w:kern w:val="0"/>
                <w:sz w:val="24"/>
                <w:szCs w:val="24"/>
                <w:lang w:val="en-US" w:eastAsia="zh-CN"/>
              </w:rPr>
              <w:t>9</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参数</w:t>
            </w:r>
            <w:r>
              <w:rPr>
                <w:rFonts w:hint="default" w:ascii="Times New Roman" w:hAnsi="Times New Roman" w:cs="Times New Roman"/>
                <w:kern w:val="0"/>
                <w:sz w:val="24"/>
                <w:szCs w:val="24"/>
                <w:lang w:val="en-US" w:eastAsia="zh-CN"/>
              </w:rPr>
              <w:t>9</w:t>
            </w:r>
          </w:p>
        </w:tc>
        <w:tc>
          <w:tcPr>
            <w:tcW w:w="4961" w:type="dxa"/>
            <w:tcBorders>
              <w:top w:val="nil"/>
              <w:left w:val="nil"/>
              <w:bottom w:val="single" w:color="auto" w:sz="4" w:space="0"/>
              <w:right w:val="single" w:color="auto" w:sz="4" w:space="0"/>
            </w:tcBorders>
            <w:vAlign w:val="center"/>
          </w:tcPr>
          <w:p>
            <w:pPr>
              <w:spacing w:line="360" w:lineRule="auto"/>
              <w:rPr>
                <w:rFonts w:hint="default" w:ascii="Times New Roman" w:hAnsi="Times New Roman" w:cs="Times New Roman"/>
                <w:sz w:val="24"/>
                <w:szCs w:val="24"/>
                <w:lang w:bidi="ar"/>
              </w:rPr>
            </w:pPr>
            <w:r>
              <w:rPr>
                <w:rFonts w:hint="default" w:ascii="Times New Roman" w:hAnsi="Times New Roman" w:cs="Times New Roman"/>
                <w:sz w:val="24"/>
                <w:szCs w:val="24"/>
              </w:rPr>
              <w:t>电池续航大于20小时</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2.1</w:t>
            </w:r>
            <w:r>
              <w:rPr>
                <w:rFonts w:hint="default" w:ascii="Times New Roman" w:hAnsi="Times New Roman" w:cs="Times New Roman"/>
                <w:kern w:val="0"/>
                <w:sz w:val="24"/>
                <w:szCs w:val="24"/>
                <w:lang w:val="en-US" w:eastAsia="zh-CN"/>
              </w:rPr>
              <w:t>0</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参数1</w:t>
            </w:r>
            <w:r>
              <w:rPr>
                <w:rFonts w:hint="default" w:ascii="Times New Roman" w:hAnsi="Times New Roman" w:cs="Times New Roman"/>
                <w:kern w:val="0"/>
                <w:sz w:val="24"/>
                <w:szCs w:val="24"/>
                <w:lang w:val="en-US" w:eastAsia="zh-CN"/>
              </w:rPr>
              <w:t>0</w:t>
            </w:r>
          </w:p>
        </w:tc>
        <w:tc>
          <w:tcPr>
            <w:tcW w:w="4961" w:type="dxa"/>
            <w:tcBorders>
              <w:top w:val="nil"/>
              <w:left w:val="nil"/>
              <w:bottom w:val="single" w:color="auto" w:sz="4" w:space="0"/>
              <w:right w:val="single" w:color="auto" w:sz="4" w:space="0"/>
            </w:tcBorders>
            <w:vAlign w:val="center"/>
          </w:tcPr>
          <w:p>
            <w:pPr>
              <w:spacing w:line="360" w:lineRule="auto"/>
              <w:rPr>
                <w:rFonts w:hint="default" w:ascii="Times New Roman" w:hAnsi="Times New Roman" w:cs="Times New Roman"/>
                <w:sz w:val="24"/>
                <w:szCs w:val="24"/>
                <w:lang w:bidi="ar"/>
              </w:rPr>
            </w:pPr>
            <w:r>
              <w:rPr>
                <w:rFonts w:hint="default" w:ascii="Times New Roman" w:hAnsi="Times New Roman" w:cs="Times New Roman"/>
                <w:sz w:val="24"/>
                <w:szCs w:val="24"/>
              </w:rPr>
              <w:t>零点稳定度：10秒时间常数，24小时的变化量为0.001 mg/m</w:t>
            </w:r>
            <w:r>
              <w:rPr>
                <w:rFonts w:hint="default" w:ascii="Times New Roman" w:hAnsi="Times New Roman" w:cs="Times New Roman"/>
                <w:sz w:val="24"/>
                <w:szCs w:val="24"/>
                <w:vertAlign w:val="superscript"/>
              </w:rPr>
              <w:t>3</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配置</w:t>
            </w:r>
          </w:p>
        </w:tc>
        <w:tc>
          <w:tcPr>
            <w:tcW w:w="4961" w:type="dxa"/>
            <w:tcBorders>
              <w:top w:val="nil"/>
              <w:left w:val="nil"/>
              <w:bottom w:val="single" w:color="auto" w:sz="4" w:space="0"/>
              <w:right w:val="single" w:color="auto" w:sz="4" w:space="0"/>
            </w:tcBorders>
            <w:vAlign w:val="center"/>
          </w:tcPr>
          <w:p>
            <w:pPr>
              <w:rPr>
                <w:rFonts w:hint="default" w:ascii="Times New Roman" w:hAnsi="Times New Roman" w:cs="Times New Roman"/>
                <w:b/>
                <w:sz w:val="24"/>
                <w:szCs w:val="24"/>
              </w:rPr>
            </w:pPr>
            <w:r>
              <w:rPr>
                <w:rFonts w:hint="default" w:ascii="Times New Roman" w:hAnsi="Times New Roman" w:cs="Times New Roman"/>
                <w:b/>
                <w:sz w:val="24"/>
                <w:szCs w:val="24"/>
              </w:rPr>
              <w:t>依据实际需求填写配置需求，一行一个配置</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配置1</w:t>
            </w:r>
          </w:p>
        </w:tc>
        <w:tc>
          <w:tcPr>
            <w:tcW w:w="4961" w:type="dxa"/>
            <w:tcBorders>
              <w:top w:val="nil"/>
              <w:left w:val="nil"/>
              <w:bottom w:val="single" w:color="auto" w:sz="4" w:space="0"/>
              <w:right w:val="single" w:color="auto" w:sz="4" w:space="0"/>
            </w:tcBorders>
            <w:vAlign w:val="center"/>
          </w:tcPr>
          <w:p>
            <w:pPr>
              <w:spacing w:line="360" w:lineRule="auto"/>
              <w:rPr>
                <w:rFonts w:hint="default" w:ascii="Times New Roman" w:hAnsi="Times New Roman" w:cs="Times New Roman"/>
                <w:kern w:val="0"/>
                <w:sz w:val="24"/>
                <w:szCs w:val="24"/>
                <w:lang w:bidi="zh-CN"/>
              </w:rPr>
            </w:pPr>
            <w:r>
              <w:rPr>
                <w:rFonts w:hint="default" w:ascii="Times New Roman" w:hAnsi="Times New Roman" w:cs="Times New Roman"/>
                <w:sz w:val="24"/>
                <w:szCs w:val="24"/>
              </w:rPr>
              <w:t>主机一套（内含电池组）</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配置2</w:t>
            </w:r>
          </w:p>
        </w:tc>
        <w:tc>
          <w:tcPr>
            <w:tcW w:w="4961" w:type="dxa"/>
            <w:tcBorders>
              <w:top w:val="nil"/>
              <w:left w:val="nil"/>
              <w:bottom w:val="single" w:color="auto" w:sz="4" w:space="0"/>
              <w:right w:val="single" w:color="auto" w:sz="4" w:space="0"/>
            </w:tcBorders>
            <w:vAlign w:val="center"/>
          </w:tcPr>
          <w:p>
            <w:pPr>
              <w:spacing w:line="360" w:lineRule="auto"/>
              <w:rPr>
                <w:rFonts w:hint="default" w:ascii="Times New Roman" w:hAnsi="Times New Roman" w:cs="Times New Roman"/>
                <w:kern w:val="0"/>
                <w:sz w:val="24"/>
                <w:szCs w:val="24"/>
                <w:lang w:bidi="zh-CN"/>
              </w:rPr>
            </w:pPr>
            <w:r>
              <w:rPr>
                <w:rFonts w:hint="default" w:ascii="Times New Roman" w:hAnsi="Times New Roman" w:cs="Times New Roman"/>
                <w:sz w:val="24"/>
                <w:szCs w:val="24"/>
              </w:rPr>
              <w:t>单台便携包一个</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配置3</w:t>
            </w:r>
          </w:p>
        </w:tc>
        <w:tc>
          <w:tcPr>
            <w:tcW w:w="4961" w:type="dxa"/>
            <w:tcBorders>
              <w:top w:val="nil"/>
              <w:left w:val="nil"/>
              <w:bottom w:val="single" w:color="auto" w:sz="4" w:space="0"/>
              <w:right w:val="single" w:color="auto" w:sz="4" w:space="0"/>
            </w:tcBorders>
            <w:vAlign w:val="center"/>
          </w:tcPr>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PM1，PM2.5，PM5，PM10粒径切割器各一个</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3.4</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配置4</w:t>
            </w:r>
          </w:p>
        </w:tc>
        <w:tc>
          <w:tcPr>
            <w:tcW w:w="4961" w:type="dxa"/>
            <w:tcBorders>
              <w:top w:val="nil"/>
              <w:left w:val="nil"/>
              <w:bottom w:val="single" w:color="auto" w:sz="4" w:space="0"/>
              <w:right w:val="single" w:color="auto" w:sz="4" w:space="0"/>
            </w:tcBorders>
            <w:vAlign w:val="center"/>
          </w:tcPr>
          <w:p>
            <w:pPr>
              <w:spacing w:line="360" w:lineRule="auto"/>
              <w:rPr>
                <w:rFonts w:hint="default" w:ascii="Times New Roman" w:hAnsi="Times New Roman" w:cs="Times New Roman"/>
                <w:kern w:val="0"/>
                <w:sz w:val="24"/>
                <w:szCs w:val="24"/>
                <w:lang w:bidi="zh-CN"/>
              </w:rPr>
            </w:pPr>
            <w:r>
              <w:rPr>
                <w:rFonts w:hint="default" w:ascii="Times New Roman" w:hAnsi="Times New Roman" w:cs="Times New Roman"/>
                <w:sz w:val="24"/>
                <w:szCs w:val="24"/>
              </w:rPr>
              <w:t>4</w:t>
            </w:r>
            <w:r>
              <w:rPr>
                <w:rFonts w:hint="default" w:ascii="Times New Roman" w:hAnsi="Times New Roman" w:cs="Times New Roman"/>
                <w:kern w:val="0"/>
                <w:sz w:val="24"/>
                <w:szCs w:val="24"/>
                <w:lang w:bidi="zh-CN"/>
              </w:rPr>
              <w:t>μm</w:t>
            </w:r>
            <w:r>
              <w:rPr>
                <w:rFonts w:hint="default" w:ascii="Times New Roman" w:hAnsi="Times New Roman" w:cs="Times New Roman"/>
                <w:sz w:val="24"/>
                <w:szCs w:val="24"/>
              </w:rPr>
              <w:t>旋风分离器一个</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3.5</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配置5</w:t>
            </w:r>
          </w:p>
        </w:tc>
        <w:tc>
          <w:tcPr>
            <w:tcW w:w="4961" w:type="dxa"/>
            <w:tcBorders>
              <w:top w:val="nil"/>
              <w:left w:val="nil"/>
              <w:bottom w:val="single" w:color="auto" w:sz="4" w:space="0"/>
              <w:right w:val="single" w:color="auto" w:sz="4" w:space="0"/>
            </w:tcBorders>
            <w:vAlign w:val="center"/>
          </w:tcPr>
          <w:p>
            <w:pPr>
              <w:spacing w:line="360" w:lineRule="auto"/>
              <w:rPr>
                <w:rFonts w:hint="default" w:ascii="Times New Roman" w:hAnsi="Times New Roman" w:cs="Times New Roman"/>
                <w:kern w:val="0"/>
                <w:sz w:val="24"/>
                <w:szCs w:val="24"/>
                <w:lang w:bidi="zh-CN"/>
              </w:rPr>
            </w:pPr>
            <w:r>
              <w:rPr>
                <w:rFonts w:hint="default" w:ascii="Times New Roman" w:hAnsi="Times New Roman" w:cs="Times New Roman"/>
                <w:sz w:val="24"/>
                <w:szCs w:val="24"/>
              </w:rPr>
              <w:t>柴油机排放颗粒物旋风分离器一个</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3.6</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配置6</w:t>
            </w:r>
          </w:p>
        </w:tc>
        <w:tc>
          <w:tcPr>
            <w:tcW w:w="4961" w:type="dxa"/>
            <w:tcBorders>
              <w:top w:val="nil"/>
              <w:left w:val="nil"/>
              <w:bottom w:val="single" w:color="auto" w:sz="4" w:space="0"/>
              <w:right w:val="single" w:color="auto" w:sz="4" w:space="0"/>
            </w:tcBorders>
            <w:vAlign w:val="center"/>
          </w:tcPr>
          <w:p>
            <w:pPr>
              <w:spacing w:line="360" w:lineRule="auto"/>
              <w:rPr>
                <w:rFonts w:hint="default" w:ascii="Times New Roman" w:hAnsi="Times New Roman" w:cs="Times New Roman"/>
                <w:kern w:val="0"/>
                <w:sz w:val="24"/>
                <w:szCs w:val="24"/>
                <w:lang w:bidi="zh-CN"/>
              </w:rPr>
            </w:pPr>
            <w:r>
              <w:rPr>
                <w:rFonts w:hint="default" w:ascii="Times New Roman" w:hAnsi="Times New Roman" w:cs="Times New Roman"/>
                <w:sz w:val="24"/>
                <w:szCs w:val="24"/>
              </w:rPr>
              <w:t>撞击套件（撞击油×1，撞击垫片×3，密封圈×4）</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3.7</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配置7</w:t>
            </w:r>
          </w:p>
        </w:tc>
        <w:tc>
          <w:tcPr>
            <w:tcW w:w="4961" w:type="dxa"/>
            <w:tcBorders>
              <w:top w:val="nil"/>
              <w:left w:val="nil"/>
              <w:bottom w:val="single" w:color="auto" w:sz="4" w:space="0"/>
              <w:right w:val="single" w:color="auto" w:sz="4" w:space="0"/>
            </w:tcBorders>
            <w:vAlign w:val="center"/>
          </w:tcPr>
          <w:p>
            <w:pPr>
              <w:spacing w:line="360" w:lineRule="auto"/>
              <w:rPr>
                <w:rFonts w:hint="default" w:ascii="Times New Roman" w:hAnsi="Times New Roman" w:cs="Times New Roman"/>
                <w:kern w:val="0"/>
                <w:sz w:val="24"/>
                <w:szCs w:val="24"/>
                <w:lang w:bidi="zh-CN"/>
              </w:rPr>
            </w:pPr>
            <w:r>
              <w:rPr>
                <w:rFonts w:hint="default" w:ascii="Times New Roman" w:hAnsi="Times New Roman" w:cs="Times New Roman"/>
                <w:sz w:val="24"/>
                <w:szCs w:val="24"/>
              </w:rPr>
              <w:t>数据U盘一个</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3.8</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配置8</w:t>
            </w:r>
          </w:p>
        </w:tc>
        <w:tc>
          <w:tcPr>
            <w:tcW w:w="4961" w:type="dxa"/>
            <w:tcBorders>
              <w:top w:val="nil"/>
              <w:left w:val="nil"/>
              <w:bottom w:val="single" w:color="auto" w:sz="4" w:space="0"/>
              <w:right w:val="single" w:color="auto" w:sz="4" w:space="0"/>
            </w:tcBorders>
            <w:vAlign w:val="center"/>
          </w:tcPr>
          <w:p>
            <w:pPr>
              <w:spacing w:line="360" w:lineRule="auto"/>
              <w:rPr>
                <w:rFonts w:hint="default" w:ascii="Times New Roman" w:hAnsi="Times New Roman" w:cs="Times New Roman"/>
                <w:kern w:val="0"/>
                <w:sz w:val="24"/>
                <w:szCs w:val="24"/>
                <w:lang w:bidi="zh-CN"/>
              </w:rPr>
            </w:pPr>
            <w:r>
              <w:rPr>
                <w:rFonts w:hint="default" w:ascii="Times New Roman" w:hAnsi="Times New Roman" w:cs="Times New Roman"/>
                <w:sz w:val="24"/>
                <w:szCs w:val="24"/>
              </w:rPr>
              <w:t>零点过滤器一个</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bl>
    <w:p>
      <w:pPr>
        <w:spacing w:line="520" w:lineRule="exact"/>
        <w:jc w:val="center"/>
        <w:rPr>
          <w:rFonts w:ascii="Times New Roman" w:hAnsi="Times New Roman" w:eastAsia="黑体" w:cs="Times New Roman"/>
          <w:bCs/>
          <w:kern w:val="0"/>
          <w:sz w:val="32"/>
          <w:szCs w:val="44"/>
        </w:rPr>
      </w:pPr>
    </w:p>
    <w:p>
      <w:pPr>
        <w:spacing w:line="520" w:lineRule="exact"/>
        <w:jc w:val="center"/>
        <w:rPr>
          <w:rFonts w:ascii="Times New Roman" w:hAnsi="Times New Roman" w:eastAsia="黑体" w:cs="Times New Roman"/>
          <w:bCs/>
          <w:kern w:val="0"/>
          <w:sz w:val="32"/>
          <w:szCs w:val="44"/>
        </w:rPr>
      </w:pPr>
      <w:r>
        <w:rPr>
          <w:rFonts w:ascii="Times New Roman" w:hAnsi="Times New Roman" w:eastAsia="黑体" w:cs="Times New Roman"/>
          <w:bCs/>
          <w:kern w:val="0"/>
          <w:sz w:val="32"/>
          <w:szCs w:val="44"/>
        </w:rPr>
        <w:t>环境颗粒物检测仪技术参数确认表</w:t>
      </w:r>
    </w:p>
    <w:p>
      <w:pPr>
        <w:spacing w:line="520" w:lineRule="exact"/>
        <w:jc w:val="center"/>
        <w:rPr>
          <w:rFonts w:ascii="Times New Roman" w:hAnsi="Times New Roman" w:cs="Times New Roman"/>
          <w:bCs/>
          <w:kern w:val="0"/>
          <w:sz w:val="32"/>
          <w:szCs w:val="32"/>
        </w:rPr>
      </w:pPr>
    </w:p>
    <w:tbl>
      <w:tblPr>
        <w:tblStyle w:val="12"/>
        <w:tblW w:w="9640" w:type="dxa"/>
        <w:tblInd w:w="-176" w:type="dxa"/>
        <w:tblLayout w:type="fixed"/>
        <w:tblCellMar>
          <w:top w:w="0" w:type="dxa"/>
          <w:left w:w="108" w:type="dxa"/>
          <w:bottom w:w="0" w:type="dxa"/>
          <w:right w:w="108" w:type="dxa"/>
        </w:tblCellMar>
      </w:tblPr>
      <w:tblGrid>
        <w:gridCol w:w="1135"/>
        <w:gridCol w:w="1701"/>
        <w:gridCol w:w="4961"/>
        <w:gridCol w:w="1843"/>
      </w:tblGrid>
      <w:tr>
        <w:tblPrEx>
          <w:tblCellMar>
            <w:top w:w="0" w:type="dxa"/>
            <w:left w:w="108" w:type="dxa"/>
            <w:bottom w:w="0" w:type="dxa"/>
            <w:right w:w="108" w:type="dxa"/>
          </w:tblCellMar>
        </w:tblPrEx>
        <w:trPr>
          <w:trHeight w:val="824" w:hRule="atLeast"/>
        </w:trPr>
        <w:tc>
          <w:tcPr>
            <w:tcW w:w="1135" w:type="dxa"/>
            <w:tcBorders>
              <w:top w:val="single" w:color="auto" w:sz="8" w:space="0"/>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序号</w:t>
            </w:r>
          </w:p>
        </w:tc>
        <w:tc>
          <w:tcPr>
            <w:tcW w:w="170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技术和性能参数名称</w:t>
            </w:r>
          </w:p>
        </w:tc>
        <w:tc>
          <w:tcPr>
            <w:tcW w:w="496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技术参数和性能要求</w:t>
            </w:r>
          </w:p>
        </w:tc>
        <w:tc>
          <w:tcPr>
            <w:tcW w:w="1843" w:type="dxa"/>
            <w:tcBorders>
              <w:top w:val="single" w:color="auto" w:sz="8" w:space="0"/>
              <w:left w:val="nil"/>
              <w:bottom w:val="single" w:color="auto" w:sz="4" w:space="0"/>
              <w:right w:val="single" w:color="auto" w:sz="8"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备注</w:t>
            </w:r>
          </w:p>
        </w:tc>
      </w:tr>
      <w:tr>
        <w:tblPrEx>
          <w:tblCellMar>
            <w:top w:w="0" w:type="dxa"/>
            <w:left w:w="108" w:type="dxa"/>
            <w:bottom w:w="0" w:type="dxa"/>
            <w:right w:w="108" w:type="dxa"/>
          </w:tblCellMar>
        </w:tblPrEx>
        <w:trPr>
          <w:trHeight w:val="668"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设备使用需求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Cs/>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b/>
                <w:bCs/>
                <w:kern w:val="0"/>
                <w:sz w:val="24"/>
                <w:szCs w:val="24"/>
              </w:rPr>
            </w:pPr>
          </w:p>
        </w:tc>
      </w:tr>
      <w:tr>
        <w:tblPrEx>
          <w:tblCellMar>
            <w:top w:w="0" w:type="dxa"/>
            <w:left w:w="108" w:type="dxa"/>
            <w:bottom w:w="0" w:type="dxa"/>
            <w:right w:w="108" w:type="dxa"/>
          </w:tblCellMar>
        </w:tblPrEx>
        <w:trPr>
          <w:trHeight w:val="692"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设备用途</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用于确定环境颗粒物空气质量，可连续可靠地分析 0.1–20 </w:t>
            </w:r>
            <w:r>
              <w:rPr>
                <w:rFonts w:hint="default" w:ascii="Times New Roman" w:hAnsi="Times New Roman" w:eastAsia="宋体" w:cs="Times New Roman"/>
                <w:kern w:val="0"/>
                <w:sz w:val="24"/>
                <w:szCs w:val="24"/>
                <w:lang w:bidi="zh-CN"/>
              </w:rPr>
              <w:t>μm</w:t>
            </w:r>
            <w:r>
              <w:rPr>
                <w:rFonts w:hint="default" w:ascii="Times New Roman" w:hAnsi="Times New Roman" w:eastAsia="宋体" w:cs="Times New Roman"/>
                <w:kern w:val="0"/>
                <w:sz w:val="24"/>
                <w:szCs w:val="24"/>
              </w:rPr>
              <w:t xml:space="preserve"> 范围内的空气中细小灰尘颗粒，同时计算并记录 PM 1、PM 2,5、PM10、总粉尘、颗粒数浓度以及颗粒粒径分布</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13" w:hRule="atLeast"/>
        </w:trPr>
        <w:tc>
          <w:tcPr>
            <w:tcW w:w="1135"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1.2</w:t>
            </w:r>
          </w:p>
        </w:tc>
        <w:tc>
          <w:tcPr>
            <w:tcW w:w="170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实验对象</w:t>
            </w:r>
          </w:p>
        </w:tc>
        <w:tc>
          <w:tcPr>
            <w:tcW w:w="496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环境空气颗粒物，粉尘</w:t>
            </w:r>
          </w:p>
        </w:tc>
        <w:tc>
          <w:tcPr>
            <w:tcW w:w="1843"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565"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1.3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特殊功能需求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Cs/>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b/>
                <w:bCs/>
                <w:kern w:val="0"/>
                <w:sz w:val="24"/>
                <w:szCs w:val="24"/>
              </w:rPr>
            </w:pPr>
          </w:p>
        </w:tc>
      </w:tr>
      <w:tr>
        <w:tblPrEx>
          <w:tblCellMar>
            <w:top w:w="0" w:type="dxa"/>
            <w:left w:w="108" w:type="dxa"/>
            <w:bottom w:w="0" w:type="dxa"/>
            <w:right w:w="108" w:type="dxa"/>
          </w:tblCellMar>
        </w:tblPrEx>
        <w:trPr>
          <w:trHeight w:val="9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主要技术参数</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105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bookmarkStart w:id="416" w:name="_Hlk106377842"/>
            <w:r>
              <w:rPr>
                <w:rFonts w:hint="default" w:ascii="Times New Roman" w:hAnsi="Times New Roman" w:eastAsia="宋体" w:cs="Times New Roman"/>
                <w:kern w:val="0"/>
                <w:sz w:val="24"/>
                <w:szCs w:val="24"/>
              </w:rPr>
              <w:t>2.1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★参数1</w:t>
            </w:r>
          </w:p>
        </w:tc>
        <w:tc>
          <w:tcPr>
            <w:tcW w:w="4961" w:type="dxa"/>
            <w:tcBorders>
              <w:top w:val="nil"/>
              <w:left w:val="nil"/>
              <w:bottom w:val="single" w:color="auto" w:sz="4" w:space="0"/>
              <w:right w:val="single" w:color="auto" w:sz="4" w:space="0"/>
            </w:tcBorders>
            <w:vAlign w:val="center"/>
          </w:tcPr>
          <w:p>
            <w:pPr>
              <w:pStyle w:val="22"/>
              <w:spacing w:line="276" w:lineRule="auto"/>
              <w:ind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粒径分布监测范围：0.15 – 20 µm </w:t>
            </w:r>
          </w:p>
        </w:tc>
        <w:tc>
          <w:tcPr>
            <w:tcW w:w="1843" w:type="dxa"/>
            <w:tcBorders>
              <w:top w:val="nil"/>
              <w:left w:val="nil"/>
              <w:bottom w:val="single" w:color="auto" w:sz="4" w:space="0"/>
              <w:right w:val="single" w:color="auto" w:sz="8" w:space="0"/>
            </w:tcBorders>
            <w:vAlign w:val="center"/>
          </w:tcPr>
          <w:p>
            <w:pPr>
              <w:pStyle w:val="2"/>
              <w:ind w:firstLine="170"/>
              <w:rPr>
                <w:rFonts w:hint="default" w:ascii="Times New Roman" w:hAnsi="Times New Roman" w:eastAsia="宋体" w:cs="Times New Roman"/>
                <w:sz w:val="24"/>
                <w:szCs w:val="24"/>
              </w:rPr>
            </w:pPr>
          </w:p>
        </w:tc>
      </w:tr>
      <w:tr>
        <w:tblPrEx>
          <w:tblCellMar>
            <w:top w:w="0" w:type="dxa"/>
            <w:left w:w="108" w:type="dxa"/>
            <w:bottom w:w="0" w:type="dxa"/>
            <w:right w:w="108" w:type="dxa"/>
          </w:tblCellMar>
        </w:tblPrEx>
        <w:trPr>
          <w:trHeight w:val="6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▲参数2</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数据输出：可同时显示PM 1、PM 2.5、PM 10、TSP、CN压力、温度、相对湿度和粒径分布（含颗粒数量和质量浓度分布）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▲参数3</w:t>
            </w:r>
          </w:p>
        </w:tc>
        <w:tc>
          <w:tcPr>
            <w:tcW w:w="4961" w:type="dxa"/>
            <w:tcBorders>
              <w:top w:val="nil"/>
              <w:left w:val="nil"/>
              <w:bottom w:val="single" w:color="auto" w:sz="4" w:space="0"/>
              <w:right w:val="single" w:color="auto" w:sz="4" w:space="0"/>
            </w:tcBorders>
            <w:vAlign w:val="center"/>
          </w:tcPr>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可现场使用测试粉末检查校准粒径分布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2.4</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▲参数4</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颗粒数量浓度测量范围</w:t>
            </w:r>
            <w:r>
              <w:rPr>
                <w:rFonts w:hint="default" w:ascii="Times New Roman" w:hAnsi="Times New Roman" w:eastAsia="宋体" w:cs="Times New Roman"/>
                <w:sz w:val="24"/>
                <w:szCs w:val="24"/>
                <w:lang w:val="en-US" w:eastAsia="zh-CN"/>
              </w:rPr>
              <w:t>至少完全覆盖</w:t>
            </w:r>
            <w:r>
              <w:rPr>
                <w:rFonts w:hint="default" w:ascii="Times New Roman" w:hAnsi="Times New Roman" w:eastAsia="宋体" w:cs="Times New Roman"/>
                <w:sz w:val="24"/>
                <w:szCs w:val="24"/>
              </w:rPr>
              <w:t>：0 – 20,000 个颗粒/cm³</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2.5</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▲参数5</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质量浓度范围</w:t>
            </w:r>
            <w:r>
              <w:rPr>
                <w:rFonts w:hint="default" w:ascii="Times New Roman" w:hAnsi="Times New Roman" w:eastAsia="宋体" w:cs="Times New Roman"/>
                <w:sz w:val="24"/>
                <w:szCs w:val="24"/>
                <w:lang w:val="en-US" w:eastAsia="zh-CN"/>
              </w:rPr>
              <w:t>至少完全覆盖</w:t>
            </w:r>
            <w:r>
              <w:rPr>
                <w:rFonts w:hint="default" w:ascii="Times New Roman" w:hAnsi="Times New Roman" w:eastAsia="宋体" w:cs="Times New Roman"/>
                <w:sz w:val="24"/>
                <w:szCs w:val="24"/>
              </w:rPr>
              <w:t>：0 – 20,000 µg/m³</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2.6</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参数6</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尺寸通道：64通道（32通道/十倍粒径）</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2.7</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参数7</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测量原理：单颗粒光散射</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2.8</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参数8</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线性度： 0.95 – 1.05（根据 EN16450 认证的设备测量）</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bookmarkEnd w:id="416"/>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2.</w:t>
            </w:r>
            <w:r>
              <w:rPr>
                <w:rFonts w:hint="default" w:ascii="Times New Roman" w:hAnsi="Times New Roman" w:eastAsia="宋体" w:cs="Times New Roman"/>
                <w:kern w:val="0"/>
                <w:sz w:val="24"/>
                <w:szCs w:val="24"/>
                <w:lang w:val="en-US" w:eastAsia="zh-CN"/>
              </w:rPr>
              <w:t>9</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参数</w:t>
            </w:r>
            <w:r>
              <w:rPr>
                <w:rFonts w:hint="default" w:ascii="Times New Roman" w:hAnsi="Times New Roman" w:eastAsia="宋体" w:cs="Times New Roman"/>
                <w:kern w:val="0"/>
                <w:sz w:val="24"/>
                <w:szCs w:val="24"/>
                <w:lang w:val="en-US" w:eastAsia="zh-CN"/>
              </w:rPr>
              <w:t>9</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rPr>
              <w:t>配备</w:t>
            </w:r>
            <w:r>
              <w:rPr>
                <w:rFonts w:hint="default" w:ascii="Times New Roman" w:hAnsi="Times New Roman" w:eastAsia="宋体" w:cs="Times New Roman"/>
                <w:sz w:val="24"/>
                <w:szCs w:val="24"/>
              </w:rPr>
              <w:t>粒径分布分析软件</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2.1</w:t>
            </w:r>
            <w:r>
              <w:rPr>
                <w:rFonts w:hint="default" w:ascii="Times New Roman" w:hAnsi="Times New Roman" w:eastAsia="宋体" w:cs="Times New Roman"/>
                <w:kern w:val="0"/>
                <w:sz w:val="24"/>
                <w:szCs w:val="24"/>
                <w:lang w:val="en-US" w:eastAsia="zh-CN"/>
              </w:rPr>
              <w:t>0</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参数1</w:t>
            </w:r>
            <w:r>
              <w:rPr>
                <w:rFonts w:hint="default" w:ascii="Times New Roman" w:hAnsi="Times New Roman" w:eastAsia="宋体" w:cs="Times New Roman"/>
                <w:kern w:val="0"/>
                <w:sz w:val="24"/>
                <w:szCs w:val="24"/>
                <w:lang w:val="en-US" w:eastAsia="zh-CN"/>
              </w:rPr>
              <w:t>0</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数据记录器存储：</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10GB</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2.1</w:t>
            </w:r>
            <w:r>
              <w:rPr>
                <w:rFonts w:hint="default" w:ascii="Times New Roman" w:hAnsi="Times New Roman" w:eastAsia="宋体" w:cs="Times New Roman"/>
                <w:kern w:val="0"/>
                <w:sz w:val="24"/>
                <w:szCs w:val="24"/>
                <w:lang w:val="en-US" w:eastAsia="zh-CN"/>
              </w:rPr>
              <w:t>1</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参数1</w:t>
            </w:r>
            <w:r>
              <w:rPr>
                <w:rFonts w:hint="default" w:ascii="Times New Roman" w:hAnsi="Times New Roman" w:eastAsia="宋体" w:cs="Times New Roman"/>
                <w:kern w:val="0"/>
                <w:sz w:val="24"/>
                <w:szCs w:val="24"/>
                <w:lang w:val="en-US" w:eastAsia="zh-CN"/>
              </w:rPr>
              <w:t>1</w:t>
            </w:r>
          </w:p>
        </w:tc>
        <w:tc>
          <w:tcPr>
            <w:tcW w:w="4961" w:type="dxa"/>
            <w:tcBorders>
              <w:top w:val="nil"/>
              <w:left w:val="nil"/>
              <w:bottom w:val="single" w:color="auto" w:sz="4" w:space="0"/>
              <w:right w:val="single" w:color="auto" w:sz="4" w:space="0"/>
            </w:tcBorders>
            <w:vAlign w:val="center"/>
          </w:tcPr>
          <w:p>
            <w:pPr>
              <w:widowControl/>
              <w:shd w:val="clear" w:color="auto" w:fill="FFFFFF"/>
              <w:spacing w:line="360" w:lineRule="atLeas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可</w:t>
            </w:r>
            <w:r>
              <w:rPr>
                <w:rFonts w:hint="default" w:ascii="Times New Roman" w:hAnsi="Times New Roman" w:eastAsia="宋体" w:cs="Times New Roman"/>
                <w:sz w:val="24"/>
                <w:szCs w:val="24"/>
              </w:rPr>
              <w:t>通过网络集成轻松实现远程监控与数据传输</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配置</w:t>
            </w:r>
          </w:p>
        </w:tc>
        <w:tc>
          <w:tcPr>
            <w:tcW w:w="4961" w:type="dxa"/>
            <w:tcBorders>
              <w:top w:val="nil"/>
              <w:left w:val="nil"/>
              <w:bottom w:val="single" w:color="auto" w:sz="4" w:space="0"/>
              <w:right w:val="single" w:color="auto" w:sz="4" w:space="0"/>
            </w:tcBorders>
            <w:vAlign w:val="center"/>
          </w:tcPr>
          <w:p>
            <w:pPr>
              <w:rPr>
                <w:rFonts w:hint="default" w:ascii="Times New Roman" w:hAnsi="Times New Roman" w:eastAsia="宋体" w:cs="Times New Roman"/>
                <w:b/>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配置1</w:t>
            </w:r>
          </w:p>
        </w:tc>
        <w:tc>
          <w:tcPr>
            <w:tcW w:w="496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bidi="zh-CN"/>
              </w:rPr>
            </w:pPr>
            <w:r>
              <w:rPr>
                <w:rFonts w:hint="default" w:ascii="Times New Roman" w:hAnsi="Times New Roman" w:eastAsia="宋体" w:cs="Times New Roman"/>
                <w:kern w:val="0"/>
                <w:sz w:val="24"/>
                <w:szCs w:val="24"/>
                <w:lang w:bidi="zh-CN"/>
              </w:rPr>
              <w:t xml:space="preserve">主机1台 </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3.</w:t>
            </w:r>
            <w:r>
              <w:rPr>
                <w:rFonts w:hint="default" w:ascii="Times New Roman" w:hAnsi="Times New Roman" w:eastAsia="宋体" w:cs="Times New Roman"/>
                <w:kern w:val="0"/>
                <w:sz w:val="24"/>
                <w:szCs w:val="24"/>
                <w:lang w:val="en-US" w:eastAsia="zh-CN"/>
              </w:rPr>
              <w:t>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配置</w:t>
            </w:r>
            <w:r>
              <w:rPr>
                <w:rFonts w:hint="default" w:ascii="Times New Roman" w:hAnsi="Times New Roman" w:eastAsia="宋体" w:cs="Times New Roman"/>
                <w:kern w:val="0"/>
                <w:sz w:val="24"/>
                <w:szCs w:val="24"/>
                <w:lang w:val="en-US" w:eastAsia="zh-CN"/>
              </w:rPr>
              <w:t>2</w:t>
            </w:r>
          </w:p>
        </w:tc>
        <w:tc>
          <w:tcPr>
            <w:tcW w:w="496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bidi="zh-CN"/>
              </w:rPr>
            </w:pPr>
            <w:r>
              <w:rPr>
                <w:rFonts w:hint="default" w:ascii="Times New Roman" w:hAnsi="Times New Roman" w:eastAsia="宋体" w:cs="Times New Roman"/>
                <w:kern w:val="0"/>
                <w:sz w:val="24"/>
                <w:szCs w:val="24"/>
                <w:lang w:bidi="zh-CN"/>
              </w:rPr>
              <w:t>标准校准粉尘1瓶</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宋体" w:cs="Times New Roman"/>
                <w:kern w:val="0"/>
                <w:sz w:val="24"/>
                <w:szCs w:val="24"/>
              </w:rPr>
            </w:pP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hint="eastAsia" w:ascii="Times New Roman" w:hAnsi="Times New Roman" w:eastAsia="黑体" w:cs="Times New Roman"/>
          <w:kern w:val="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三、</w:t>
      </w:r>
      <w:r>
        <w:rPr>
          <w:rFonts w:ascii="Times New Roman" w:hAnsi="Times New Roman" w:eastAsia="黑体" w:cs="Times New Roman"/>
          <w:kern w:val="2"/>
          <w:sz w:val="32"/>
          <w:szCs w:val="32"/>
        </w:rPr>
        <w:t>商务需求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（一）实施要求</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1.实施时间：采购合同生效后，</w:t>
      </w:r>
      <w:r>
        <w:rPr>
          <w:rFonts w:hint="eastAsia" w:ascii="宋体" w:hAnsi="宋体" w:eastAsia="宋体" w:cs="宋体"/>
          <w:sz w:val="28"/>
          <w:szCs w:val="28"/>
          <w:u w:val="single"/>
        </w:rPr>
        <w:t>30</w:t>
      </w:r>
      <w:r>
        <w:rPr>
          <w:rFonts w:hint="eastAsia" w:ascii="宋体" w:hAnsi="宋体" w:eastAsia="宋体" w:cs="宋体"/>
          <w:sz w:val="28"/>
          <w:szCs w:val="28"/>
        </w:rPr>
        <w:t>日内送货到采购人指定地点。</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2.实施地点：重庆市沙坪坝区高滩岩正街30号。</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3.实施方式：成交人按照采购单位的订购数量，将货物送到采购人指定交货地点。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（二）售后服务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z w:val="28"/>
          <w:szCs w:val="28"/>
        </w:rPr>
        <w:t>保质期内，供应商和制造商负责产品的免费维修维护和技术升级，对于设备不能维修和更换，供应商退还已支付的合同金额和相应的利息损失，且</w:t>
      </w:r>
      <w:r>
        <w:rPr>
          <w:rFonts w:hint="eastAsia" w:ascii="宋体" w:hAnsi="宋体" w:eastAsia="宋体" w:cs="宋体"/>
          <w:sz w:val="28"/>
          <w:szCs w:val="28"/>
        </w:rPr>
        <w:t>售后需满足以下要求：</w:t>
      </w:r>
    </w:p>
    <w:tbl>
      <w:tblPr>
        <w:tblStyle w:val="13"/>
        <w:tblW w:w="0" w:type="auto"/>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2"/>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8" w:type="dxa"/>
            <w:gridSpan w:val="2"/>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sz w:val="24"/>
                <w:szCs w:val="24"/>
              </w:rPr>
            </w:pPr>
            <w:r>
              <w:rPr>
                <w:rFonts w:hint="eastAsia" w:ascii="宋体" w:hAnsi="宋体" w:eastAsia="宋体" w:cs="宋体"/>
                <w:sz w:val="24"/>
                <w:szCs w:val="24"/>
              </w:rPr>
              <w:t>保修年限</w:t>
            </w:r>
          </w:p>
        </w:tc>
        <w:tc>
          <w:tcPr>
            <w:tcW w:w="6736"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出现故障回应时间</w:t>
            </w:r>
          </w:p>
        </w:tc>
        <w:tc>
          <w:tcPr>
            <w:tcW w:w="6736"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报修2小时内响应</w:t>
            </w: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维修到达现场时间≤ </w:t>
            </w:r>
            <w:r>
              <w:rPr>
                <w:rFonts w:hint="eastAsia" w:ascii="宋体" w:hAnsi="宋体" w:eastAsia="宋体" w:cs="宋体"/>
                <w:kern w:val="0"/>
                <w:sz w:val="24"/>
                <w:szCs w:val="24"/>
                <w:lang w:val="en-US" w:eastAsia="zh-CN"/>
              </w:rPr>
              <w:t>24</w:t>
            </w:r>
            <w:r>
              <w:rPr>
                <w:rFonts w:hint="eastAsia" w:ascii="宋体" w:hAnsi="宋体" w:eastAsia="宋体" w:cs="宋体"/>
                <w:kern w:val="0"/>
                <w:sz w:val="24"/>
                <w:szCs w:val="24"/>
              </w:rPr>
              <w:t>小时（本地）</w:t>
            </w: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rPr>
              <w:t>维修到达现场时间≤72小时（外地）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维修支持</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配件供应时间≥</w:t>
            </w:r>
            <w:r>
              <w:rPr>
                <w:rFonts w:hint="eastAsia" w:ascii="宋体" w:hAnsi="宋体" w:cs="宋体"/>
                <w:kern w:val="0"/>
                <w:sz w:val="24"/>
                <w:szCs w:val="24"/>
                <w:lang w:val="en-US" w:eastAsia="zh-CN"/>
              </w:rPr>
              <w:t>8</w:t>
            </w:r>
            <w:r>
              <w:rPr>
                <w:rFonts w:hint="eastAsia" w:ascii="宋体" w:hAnsi="宋体" w:eastAsia="宋体" w:cs="宋体"/>
                <w:kern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维修资料</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预防性维修</w:t>
            </w:r>
          </w:p>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/定期维护保养</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保修期内提供</w:t>
            </w:r>
            <w:r>
              <w:rPr>
                <w:rFonts w:hint="eastAsia" w:ascii="宋体" w:hAnsi="宋体" w:eastAsia="宋体" w:cs="宋体"/>
                <w:kern w:val="0"/>
                <w:sz w:val="24"/>
                <w:szCs w:val="24"/>
                <w:lang w:val="en-US" w:eastAsia="zh-CN"/>
              </w:rPr>
              <w:t>至少每年一次的</w:t>
            </w:r>
            <w:r>
              <w:rPr>
                <w:rFonts w:hint="eastAsia" w:ascii="宋体" w:hAnsi="宋体" w:eastAsia="宋体" w:cs="宋体"/>
                <w:kern w:val="0"/>
                <w:sz w:val="24"/>
                <w:szCs w:val="24"/>
              </w:rPr>
              <w:t>维护保养服务</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服务内容包括仪器调试、校正、清洁、保养等；</w:t>
            </w:r>
          </w:p>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保修期满前一个月供应商</w:t>
            </w:r>
            <w:r>
              <w:rPr>
                <w:rFonts w:hint="eastAsia" w:ascii="宋体" w:hAnsi="宋体" w:eastAsia="宋体" w:cs="宋体"/>
                <w:sz w:val="24"/>
                <w:szCs w:val="24"/>
              </w:rPr>
              <w:t>免费对仪器进行一次全面检查、维护，并</w:t>
            </w:r>
            <w:r>
              <w:rPr>
                <w:rFonts w:hint="eastAsia" w:ascii="宋体" w:hAnsi="宋体" w:eastAsia="宋体" w:cs="宋体"/>
                <w:sz w:val="24"/>
                <w:szCs w:val="24"/>
                <w:lang w:val="en-US" w:eastAsia="zh-CN"/>
              </w:rPr>
              <w:t>出具</w:t>
            </w:r>
            <w:r>
              <w:rPr>
                <w:rFonts w:hint="eastAsia" w:ascii="宋体" w:hAnsi="宋体" w:eastAsia="宋体" w:cs="宋体"/>
                <w:sz w:val="24"/>
                <w:szCs w:val="24"/>
              </w:rPr>
              <w:t>正式报告；如发现潜在问题，应负责解决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升级</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终身免费软件升级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使用培训</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提供</w:t>
            </w:r>
            <w:r>
              <w:rPr>
                <w:rFonts w:hint="eastAsia" w:ascii="宋体" w:hAnsi="宋体" w:eastAsia="宋体" w:cs="宋体"/>
                <w:color w:val="000000" w:themeColor="text1"/>
                <w:kern w:val="0"/>
                <w:sz w:val="24"/>
                <w:szCs w:val="24"/>
                <w:lang w:eastAsia="zh-Hans"/>
                <w14:textFill>
                  <w14:solidFill>
                    <w14:schemeClr w14:val="tx1"/>
                  </w14:solidFill>
                </w14:textFill>
              </w:rPr>
              <w:t>首</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lang w:eastAsia="zh-Hans"/>
                <w14:textFill>
                  <w14:solidFill>
                    <w14:schemeClr w14:val="tx1"/>
                  </w14:solidFill>
                </w14:textFill>
              </w:rPr>
              <w:t>次</w:t>
            </w:r>
            <w:r>
              <w:rPr>
                <w:rFonts w:hint="eastAsia" w:ascii="宋体" w:hAnsi="宋体" w:eastAsia="宋体" w:cs="宋体"/>
                <w:color w:val="000000" w:themeColor="text1"/>
                <w:kern w:val="0"/>
                <w:sz w:val="24"/>
                <w:szCs w:val="24"/>
                <w14:textFill>
                  <w14:solidFill>
                    <w14:schemeClr w14:val="tx1"/>
                  </w14:solidFill>
                </w14:textFill>
              </w:rPr>
              <w:t>培训</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（三）付款方式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仪器安装、调试与技术培训完毕，经采购人验收合格后，成交人提供相关票据单证，</w:t>
      </w:r>
      <w:r>
        <w:rPr>
          <w:rFonts w:hint="eastAsia" w:ascii="宋体" w:hAnsi="宋体" w:eastAsia="宋体" w:cs="宋体"/>
          <w:sz w:val="28"/>
          <w:szCs w:val="28"/>
        </w:rPr>
        <w:t>签字确认后支付合同金额</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（四）验收方式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（五）知识产权</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本研发服务项目产生的成果，包括但不限于专利、实用新型专利、著作权等为甲方所有。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（六）其他</w:t>
      </w:r>
    </w:p>
    <w:p>
      <w:pPr>
        <w:pStyle w:val="2"/>
        <w:keepNext w:val="0"/>
        <w:keepLines w:val="0"/>
        <w:pageBreakBefore w:val="0"/>
        <w:widowControl w:val="0"/>
        <w:kinsoku/>
        <w:wordWrap/>
        <w:overflowPunct/>
        <w:topLinePunct w:val="0"/>
        <w:autoSpaceDE/>
        <w:autoSpaceDN/>
        <w:bidi w:val="0"/>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无</w:t>
      </w:r>
    </w:p>
    <w:p>
      <w:pPr>
        <w:keepNext w:val="0"/>
        <w:keepLines w:val="0"/>
        <w:pageBreakBefore w:val="0"/>
        <w:kinsoku/>
        <w:wordWrap/>
        <w:overflowPunct/>
        <w:topLinePunct w:val="0"/>
        <w:autoSpaceDE/>
        <w:autoSpaceDN/>
        <w:bidi w:val="0"/>
        <w:spacing w:line="360" w:lineRule="auto"/>
      </w:pPr>
    </w:p>
    <w:p>
      <w:pPr>
        <w:pStyle w:val="2"/>
      </w:pPr>
    </w:p>
    <w:p/>
    <w:p>
      <w: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报价文件</w:t>
      </w:r>
      <w:r>
        <w:rPr>
          <w:rFonts w:hint="eastAsia" w:ascii="Times New Roman" w:hAnsi="Times New Roman" w:eastAsia="方正小标宋简体" w:cs="Times New Roman"/>
          <w:kern w:val="44"/>
          <w:sz w:val="44"/>
          <w:szCs w:val="28"/>
          <w:lang w:val="en-US" w:eastAsia="zh-CN"/>
        </w:rPr>
        <w:t>内容及格式</w:t>
      </w:r>
    </w:p>
    <w:p>
      <w:pPr>
        <w:keepNext/>
        <w:keepLines/>
        <w:numPr>
          <w:ilvl w:val="0"/>
          <w:numId w:val="0"/>
        </w:numPr>
        <w:spacing w:before="340" w:after="330" w:line="578" w:lineRule="auto"/>
        <w:ind w:firstLine="880" w:firstLineChars="200"/>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（报价方使用）</w:t>
      </w:r>
    </w:p>
    <w:p>
      <w:pPr>
        <w:spacing w:line="560" w:lineRule="exact"/>
        <w:ind w:firstLine="560" w:firstLineChars="200"/>
        <w:rPr>
          <w:bCs/>
          <w:sz w:val="28"/>
          <w:szCs w:val="28"/>
        </w:rPr>
      </w:pPr>
      <w:r>
        <w:rPr>
          <w:rFonts w:hint="eastAsia"/>
          <w:bCs/>
          <w:sz w:val="28"/>
          <w:szCs w:val="28"/>
        </w:rPr>
        <w:t>报价文件分为“价格文件”“商务技术文件”和“资格证明文件”，包括但不限于本章所述内容，本章提供格式文件的请按格式要求制作。</w:t>
      </w:r>
    </w:p>
    <w:p>
      <w:pPr>
        <w:spacing w:line="560" w:lineRule="exact"/>
        <w:ind w:firstLine="560" w:firstLineChars="200"/>
        <w:rPr>
          <w:bCs/>
        </w:rPr>
      </w:pPr>
      <w:r>
        <w:rPr>
          <w:rFonts w:hint="eastAsia"/>
          <w:bCs/>
          <w:sz w:val="28"/>
          <w:szCs w:val="28"/>
        </w:rPr>
        <w:t>报价供应商制作报价文件时，应当对照《资格性</w:t>
      </w:r>
      <w:r>
        <w:rPr>
          <w:rFonts w:hint="eastAsia"/>
          <w:bCs/>
          <w:sz w:val="28"/>
          <w:szCs w:val="28"/>
          <w:lang w:val="en-US" w:eastAsia="zh-CN"/>
        </w:rPr>
        <w:t>和符合性</w:t>
      </w:r>
      <w:r>
        <w:rPr>
          <w:rFonts w:hint="eastAsia"/>
          <w:bCs/>
          <w:sz w:val="28"/>
          <w:szCs w:val="28"/>
        </w:rPr>
        <w:t>审查表》《商务</w:t>
      </w:r>
      <w:r>
        <w:rPr>
          <w:rFonts w:hint="eastAsia"/>
          <w:bCs/>
          <w:sz w:val="28"/>
          <w:szCs w:val="28"/>
          <w:lang w:val="en-US" w:eastAsia="zh-CN"/>
        </w:rPr>
        <w:t>和技术</w:t>
      </w:r>
      <w:r>
        <w:rPr>
          <w:rFonts w:hint="eastAsia"/>
          <w:bCs/>
          <w:sz w:val="28"/>
          <w:szCs w:val="28"/>
        </w:rPr>
        <w:t>评审标准表》提供尽可能详细的证明</w:t>
      </w:r>
      <w:r>
        <w:rPr>
          <w:rFonts w:hint="eastAsia" w:ascii="宋体" w:hAnsi="宋体"/>
          <w:bCs/>
          <w:sz w:val="28"/>
          <w:szCs w:val="28"/>
        </w:rPr>
        <w:t>材料</w:t>
      </w:r>
      <w:r>
        <w:rPr>
          <w:rFonts w:hint="eastAsia"/>
          <w:bCs/>
          <w:sz w:val="28"/>
          <w:szCs w:val="28"/>
        </w:rPr>
        <w:t>。</w:t>
      </w:r>
    </w:p>
    <w:p>
      <w:r>
        <w:br w:type="page"/>
      </w:r>
    </w:p>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17" w:name="_Toc81213694"/>
      <w:bookmarkStart w:id="418" w:name="_Toc130887486"/>
      <w:bookmarkStart w:id="419" w:name="_Toc18151"/>
      <w:bookmarkStart w:id="420" w:name="_Toc132636825"/>
      <w:bookmarkStart w:id="421" w:name="_Toc3800"/>
      <w:bookmarkStart w:id="422" w:name="_Toc8608"/>
      <w:bookmarkStart w:id="423" w:name="_Toc150422496"/>
      <w:bookmarkStart w:id="424" w:name="_Toc150422550"/>
      <w:bookmarkStart w:id="425" w:name="_Toc31021"/>
      <w:bookmarkStart w:id="426" w:name="_Toc132186962"/>
      <w:r>
        <w:rPr>
          <w:rFonts w:hint="eastAsia" w:ascii="方正小标宋简体" w:eastAsia="方正小标宋简体"/>
          <w:bCs/>
          <w:sz w:val="52"/>
          <w:szCs w:val="52"/>
        </w:rPr>
        <w:t>一、</w:t>
      </w:r>
      <w:bookmarkEnd w:id="417"/>
      <w:r>
        <w:rPr>
          <w:rFonts w:hint="eastAsia" w:ascii="方正小标宋简体" w:eastAsia="方正小标宋简体"/>
          <w:bCs/>
          <w:sz w:val="52"/>
          <w:szCs w:val="52"/>
        </w:rPr>
        <w:t>价格文件</w:t>
      </w:r>
      <w:bookmarkEnd w:id="418"/>
      <w:bookmarkEnd w:id="419"/>
      <w:bookmarkEnd w:id="420"/>
      <w:bookmarkEnd w:id="421"/>
      <w:bookmarkEnd w:id="422"/>
      <w:bookmarkEnd w:id="423"/>
      <w:bookmarkEnd w:id="424"/>
      <w:bookmarkEnd w:id="425"/>
      <w:bookmarkEnd w:id="426"/>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120" w:beforeLines="50" w:line="560" w:lineRule="exact"/>
        <w:jc w:val="center"/>
        <w:rPr>
          <w:rFonts w:ascii="宋体" w:hAnsi="宋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line="400" w:lineRule="exact"/>
        <w:ind w:firstLine="493" w:firstLineChars="235"/>
        <w:jc w:val="left"/>
        <w:rPr>
          <w:rFonts w:ascii="宋体" w:hAnsi="宋体"/>
          <w:bCs/>
        </w:rPr>
        <w:sectPr>
          <w:headerReference r:id="rId5" w:type="first"/>
          <w:headerReference r:id="rId3" w:type="default"/>
          <w:footerReference r:id="rId6" w:type="default"/>
          <w:headerReference r:id="rId4" w:type="even"/>
          <w:pgSz w:w="11906" w:h="16838"/>
          <w:pgMar w:top="1418" w:right="1134" w:bottom="1418" w:left="1418" w:header="851" w:footer="851" w:gutter="0"/>
          <w:pgNumType w:fmt="decimal" w:start="1"/>
          <w:cols w:space="720" w:num="1"/>
        </w:sectPr>
      </w:pPr>
    </w:p>
    <w:p>
      <w:pPr>
        <w:pStyle w:val="6"/>
        <w:spacing w:before="120" w:beforeLines="50" w:after="120" w:afterLines="50" w:line="560" w:lineRule="exact"/>
        <w:ind w:firstLine="0" w:firstLineChars="0"/>
        <w:rPr>
          <w:b w:val="0"/>
        </w:rPr>
      </w:pPr>
      <w:bookmarkStart w:id="427" w:name="_Toc1395"/>
      <w:bookmarkStart w:id="428" w:name="_Toc12113"/>
      <w:bookmarkStart w:id="429" w:name="_Toc22837"/>
      <w:bookmarkStart w:id="430" w:name="_Toc112768457"/>
      <w:bookmarkStart w:id="431" w:name="_Toc29368"/>
      <w:bookmarkStart w:id="432" w:name="_Toc26769"/>
      <w:bookmarkStart w:id="433" w:name="_Toc27817"/>
      <w:bookmarkStart w:id="434" w:name="_Toc25346"/>
      <w:bookmarkStart w:id="435" w:name="_Toc16781"/>
      <w:bookmarkStart w:id="436" w:name="_Toc112879343"/>
      <w:bookmarkStart w:id="437" w:name="_Toc9252"/>
      <w:bookmarkStart w:id="438" w:name="_Toc3934"/>
      <w:r>
        <w:rPr>
          <w:rFonts w:hint="eastAsia"/>
          <w:b w:val="0"/>
        </w:rPr>
        <w:t>附件1</w:t>
      </w:r>
      <w:r>
        <w:rPr>
          <w:b w:val="0"/>
        </w:rPr>
        <w:t xml:space="preserve">-1 </w:t>
      </w:r>
      <w:r>
        <w:rPr>
          <w:rFonts w:hint="eastAsia"/>
          <w:b w:val="0"/>
        </w:rPr>
        <w:t>报价一览表</w:t>
      </w:r>
      <w:bookmarkEnd w:id="427"/>
      <w:bookmarkEnd w:id="428"/>
      <w:bookmarkEnd w:id="429"/>
      <w:bookmarkEnd w:id="430"/>
      <w:bookmarkEnd w:id="431"/>
      <w:bookmarkEnd w:id="432"/>
      <w:bookmarkEnd w:id="433"/>
      <w:bookmarkEnd w:id="434"/>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pPr>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r>
        <w:rPr>
          <w:rFonts w:hint="eastAsia"/>
          <w:bCs/>
          <w:sz w:val="28"/>
          <w:szCs w:val="28"/>
        </w:rPr>
        <w:t xml:space="preserve">     金额单位：元</w:t>
      </w:r>
    </w:p>
    <w:tbl>
      <w:tblPr>
        <w:tblStyle w:val="1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477"/>
        <w:gridCol w:w="1276"/>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计量</w:t>
            </w:r>
          </w:p>
          <w:p>
            <w:pPr>
              <w:jc w:val="center"/>
              <w:rPr>
                <w:rFonts w:ascii="宋体" w:hAnsi="宋体" w:cs="宋体"/>
                <w:bCs/>
                <w:sz w:val="24"/>
              </w:rPr>
            </w:pPr>
            <w:r>
              <w:rPr>
                <w:rFonts w:hint="eastAsia" w:ascii="宋体" w:hAnsi="宋体" w:cs="宋体"/>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单价</w:t>
            </w:r>
          </w:p>
          <w:p>
            <w:pPr>
              <w:jc w:val="center"/>
              <w:rPr>
                <w:rFonts w:ascii="宋体" w:hAnsi="宋体" w:cs="宋体"/>
                <w:bCs/>
                <w:sz w:val="24"/>
              </w:rPr>
            </w:pPr>
            <w:r>
              <w:rPr>
                <w:rFonts w:hint="eastAsia" w:ascii="宋体" w:hAnsi="宋体" w:cs="宋体"/>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金额</w:t>
            </w:r>
          </w:p>
          <w:p>
            <w:pPr>
              <w:jc w:val="center"/>
              <w:rPr>
                <w:rFonts w:ascii="宋体" w:hAnsi="宋体" w:cs="宋体"/>
                <w:bCs/>
                <w:spacing w:val="-4"/>
                <w:sz w:val="24"/>
              </w:rPr>
            </w:pPr>
            <w:r>
              <w:rPr>
                <w:rFonts w:hint="eastAsia" w:ascii="宋体" w:hAnsi="宋体" w:cs="宋体"/>
                <w:bCs/>
                <w:sz w:val="24"/>
              </w:rPr>
              <w:t>（含税）</w:t>
            </w:r>
          </w:p>
        </w:tc>
        <w:tc>
          <w:tcPr>
            <w:tcW w:w="14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交货地点</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u w:val="single"/>
              </w:rPr>
            </w:pPr>
            <w:r>
              <w:rPr>
                <w:rFonts w:hint="eastAsia" w:ascii="宋体" w:hAnsi="宋体" w:cs="宋体"/>
                <w:bCs/>
                <w:spacing w:val="-4"/>
                <w:sz w:val="24"/>
              </w:rPr>
              <w:t>报价总价（人民币大写）：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bCs/>
                <w:sz w:val="24"/>
              </w:rPr>
            </w:pPr>
            <w:r>
              <w:rPr>
                <w:rFonts w:hint="eastAsia"/>
                <w:bCs/>
                <w:sz w:val="24"/>
              </w:rPr>
              <w:t>说明：金额=单价×数量，报价总价=金额之和。</w:t>
            </w:r>
          </w:p>
        </w:tc>
      </w:tr>
    </w:tbl>
    <w:p>
      <w:pPr>
        <w:spacing w:before="240" w:beforeLines="100" w:after="120" w:afterLines="5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pPr>
        <w:spacing w:before="120" w:beforeLines="50" w:after="120" w:afterLines="50"/>
        <w:rPr>
          <w:bCs/>
          <w:sz w:val="32"/>
          <w:szCs w:val="32"/>
        </w:rPr>
      </w:pPr>
    </w:p>
    <w:p>
      <w:pPr>
        <w:spacing w:before="120" w:beforeLines="50" w:after="120" w:afterLines="50"/>
        <w:jc w:val="center"/>
        <w:rPr>
          <w:bCs/>
          <w:sz w:val="28"/>
          <w:szCs w:val="28"/>
        </w:rPr>
        <w:sectPr>
          <w:pgSz w:w="16838" w:h="11906" w:orient="landscape"/>
          <w:pgMar w:top="1418" w:right="1134" w:bottom="1418" w:left="1418" w:header="851" w:footer="851" w:gutter="0"/>
          <w:pgNumType w:fmt="decimal"/>
          <w:cols w:space="720" w:num="1"/>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6"/>
        <w:spacing w:before="120" w:beforeLines="50" w:after="120" w:afterLines="50" w:line="560" w:lineRule="exact"/>
        <w:ind w:firstLine="0" w:firstLineChars="0"/>
        <w:rPr>
          <w:b w:val="0"/>
          <w:bCs w:val="0"/>
        </w:rPr>
      </w:pPr>
      <w:bookmarkStart w:id="439" w:name="_Toc24431"/>
      <w:bookmarkStart w:id="440" w:name="_Toc14107"/>
      <w:bookmarkStart w:id="441" w:name="_Toc8454"/>
      <w:bookmarkStart w:id="442" w:name="_Toc15085"/>
      <w:bookmarkStart w:id="443" w:name="_Toc16147"/>
      <w:bookmarkStart w:id="444" w:name="_Toc18447"/>
      <w:bookmarkStart w:id="445" w:name="_Toc11700"/>
      <w:bookmarkStart w:id="446" w:name="_Toc112768459"/>
      <w:bookmarkStart w:id="447" w:name="_Toc5803"/>
      <w:bookmarkStart w:id="448" w:name="_Toc437"/>
      <w:bookmarkStart w:id="449" w:name="_Toc32421"/>
      <w:r>
        <w:rPr>
          <w:rFonts w:hint="eastAsia"/>
          <w:b w:val="0"/>
          <w:bCs w:val="0"/>
        </w:rPr>
        <w:t>※附件</w:t>
      </w:r>
      <w:r>
        <w:rPr>
          <w:b w:val="0"/>
          <w:bCs w:val="0"/>
        </w:rPr>
        <w:t>1-</w:t>
      </w:r>
      <w:r>
        <w:rPr>
          <w:rFonts w:hint="eastAsia"/>
          <w:b w:val="0"/>
          <w:bCs w:val="0"/>
          <w:lang w:val="en-US" w:eastAsia="zh-CN"/>
        </w:rPr>
        <w:t>2</w:t>
      </w:r>
      <w:r>
        <w:rPr>
          <w:rFonts w:hint="eastAsia"/>
          <w:b w:val="0"/>
          <w:bCs w:val="0"/>
        </w:rPr>
        <w:t xml:space="preserve"> 其他与价格有关的材料、文件</w:t>
      </w:r>
      <w:bookmarkEnd w:id="439"/>
      <w:bookmarkEnd w:id="440"/>
      <w:bookmarkEnd w:id="441"/>
      <w:bookmarkEnd w:id="442"/>
      <w:bookmarkEnd w:id="443"/>
      <w:bookmarkEnd w:id="444"/>
      <w:bookmarkEnd w:id="445"/>
    </w:p>
    <w:p>
      <w:pPr>
        <w:spacing w:before="120" w:beforeLines="50" w:after="120" w:afterLines="50" w:line="560" w:lineRule="exact"/>
        <w:jc w:val="center"/>
        <w:rPr>
          <w:sz w:val="36"/>
          <w:szCs w:val="36"/>
          <w:lang w:val="zh-CN"/>
        </w:rPr>
      </w:pPr>
      <w:r>
        <w:rPr>
          <w:rFonts w:hint="eastAsia" w:ascii="黑体" w:hAnsi="黑体" w:eastAsia="黑体" w:cs="黑体"/>
          <w:sz w:val="36"/>
          <w:szCs w:val="36"/>
        </w:rPr>
        <w:t>其他与价格有关的材料、文件</w:t>
      </w:r>
    </w:p>
    <w:p>
      <w:pPr>
        <w:jc w:val="center"/>
        <w:rPr>
          <w:sz w:val="28"/>
          <w:szCs w:val="28"/>
          <w:lang w:val="zh-CN"/>
        </w:rPr>
      </w:pPr>
      <w:r>
        <w:rPr>
          <w:rFonts w:hint="eastAsia"/>
          <w:sz w:val="28"/>
          <w:szCs w:val="28"/>
          <w:lang w:val="zh-CN"/>
        </w:rPr>
        <w:t>（由报价供应商根据项目需求自行拟定）</w:t>
      </w:r>
    </w:p>
    <w:p>
      <w:pPr>
        <w:rPr>
          <w:sz w:val="28"/>
          <w:szCs w:val="28"/>
          <w:lang w:val="zh-CN"/>
        </w:rPr>
      </w:pPr>
    </w:p>
    <w:p>
      <w:pPr>
        <w:pStyle w:val="3"/>
        <w:rPr>
          <w:sz w:val="28"/>
          <w:szCs w:val="28"/>
          <w:lang w:val="zh-CN"/>
        </w:rPr>
      </w:pPr>
    </w:p>
    <w:p>
      <w:pPr>
        <w:rPr>
          <w:sz w:val="28"/>
          <w:szCs w:val="28"/>
          <w:lang w:val="zh-CN"/>
        </w:rPr>
      </w:pPr>
    </w:p>
    <w:p>
      <w:pPr>
        <w:jc w:val="left"/>
        <w:rPr>
          <w:sz w:val="28"/>
          <w:szCs w:val="28"/>
        </w:rPr>
      </w:pPr>
      <w:r>
        <w:rPr>
          <w:sz w:val="28"/>
          <w:szCs w:val="28"/>
        </w:rPr>
        <w:br w:type="page"/>
      </w:r>
    </w:p>
    <w:bookmarkEnd w:id="435"/>
    <w:bookmarkEnd w:id="436"/>
    <w:bookmarkEnd w:id="437"/>
    <w:bookmarkEnd w:id="438"/>
    <w:bookmarkEnd w:id="446"/>
    <w:bookmarkEnd w:id="447"/>
    <w:bookmarkEnd w:id="448"/>
    <w:bookmarkEnd w:id="449"/>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50" w:name="_Toc150422551"/>
      <w:bookmarkStart w:id="451" w:name="_Toc132636826"/>
      <w:bookmarkStart w:id="452" w:name="_Toc150422497"/>
      <w:r>
        <w:rPr>
          <w:rFonts w:hint="eastAsia" w:ascii="方正小标宋简体" w:eastAsia="方正小标宋简体"/>
          <w:bCs/>
          <w:sz w:val="52"/>
          <w:szCs w:val="52"/>
        </w:rPr>
        <w:t>二、商务技术文件</w:t>
      </w:r>
      <w:bookmarkEnd w:id="450"/>
      <w:bookmarkEnd w:id="451"/>
      <w:bookmarkEnd w:id="452"/>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jc w:val="center"/>
        <w:rPr>
          <w:rFonts w:ascii="Arial" w:hAnsi="Arial" w:eastAsia="黑体"/>
          <w:bCs/>
          <w:sz w:val="28"/>
          <w:szCs w:val="28"/>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bookmarkStart w:id="453" w:name="_Toc19489"/>
      <w:bookmarkStart w:id="454" w:name="_Toc24495"/>
      <w:bookmarkStart w:id="455" w:name="_Toc31275"/>
      <w:bookmarkStart w:id="456" w:name="_Toc13416"/>
      <w:bookmarkStart w:id="457" w:name="_Toc5425"/>
      <w:bookmarkStart w:id="458" w:name="_Toc112768462"/>
      <w:bookmarkStart w:id="459" w:name="_Toc8591"/>
      <w:bookmarkStart w:id="460" w:name="_Toc11683"/>
      <w:bookmarkStart w:id="461" w:name="_Toc9420"/>
      <w:bookmarkStart w:id="462" w:name="_Toc1817"/>
      <w:bookmarkStart w:id="463" w:name="_Toc5234"/>
      <w:bookmarkStart w:id="464" w:name="_Toc112879348"/>
      <w:r>
        <w:rPr>
          <w:b/>
        </w:rPr>
        <w:br w:type="page"/>
      </w:r>
    </w:p>
    <w:p>
      <w:pPr>
        <w:pStyle w:val="6"/>
        <w:spacing w:before="120" w:beforeLines="50" w:after="120" w:afterLines="50" w:line="560" w:lineRule="exact"/>
        <w:ind w:firstLine="0" w:firstLineChars="0"/>
        <w:rPr>
          <w:b w:val="0"/>
          <w:lang w:val="zh-CN"/>
        </w:rPr>
      </w:pPr>
      <w:r>
        <w:rPr>
          <w:rFonts w:hint="eastAsia"/>
          <w:b w:val="0"/>
        </w:rPr>
        <w:t>附件</w:t>
      </w:r>
      <w:r>
        <w:rPr>
          <w:b w:val="0"/>
        </w:rPr>
        <w:t xml:space="preserve">2-1 </w:t>
      </w:r>
      <w:r>
        <w:rPr>
          <w:rFonts w:hint="eastAsia"/>
          <w:b w:val="0"/>
        </w:rPr>
        <w:t>符合性审查索引表</w:t>
      </w:r>
      <w:bookmarkEnd w:id="453"/>
      <w:bookmarkEnd w:id="454"/>
      <w:bookmarkEnd w:id="455"/>
      <w:bookmarkEnd w:id="456"/>
      <w:bookmarkEnd w:id="457"/>
      <w:bookmarkEnd w:id="458"/>
      <w:bookmarkEnd w:id="459"/>
      <w:bookmarkEnd w:id="460"/>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12"/>
        <w:tblW w:w="5000" w:type="pct"/>
        <w:jc w:val="center"/>
        <w:tblLayout w:type="fixed"/>
        <w:tblCellMar>
          <w:top w:w="0" w:type="dxa"/>
          <w:left w:w="108" w:type="dxa"/>
          <w:bottom w:w="0" w:type="dxa"/>
          <w:right w:w="108" w:type="dxa"/>
        </w:tblCellMar>
      </w:tblPr>
      <w:tblGrid>
        <w:gridCol w:w="728"/>
        <w:gridCol w:w="5302"/>
        <w:gridCol w:w="2492"/>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111"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符合性审查</w:t>
            </w:r>
            <w:r>
              <w:rPr>
                <w:rFonts w:hint="eastAsia" w:ascii="宋体" w:hAnsi="宋体" w:cs="宋体"/>
                <w:bCs/>
                <w:sz w:val="24"/>
              </w:rPr>
              <w:t>项目</w:t>
            </w:r>
          </w:p>
        </w:tc>
        <w:tc>
          <w:tcPr>
            <w:tcW w:w="1462"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文件名称</w:t>
            </w:r>
            <w:r>
              <w:rPr>
                <w:rFonts w:hint="eastAsia" w:ascii="宋体" w:hAnsi="宋体"/>
                <w:bCs/>
                <w:sz w:val="24"/>
              </w:rPr>
              <w:t>∕</w:t>
            </w:r>
            <w:r>
              <w:rPr>
                <w:rFonts w:hint="eastAsia" w:ascii="宋体" w:hAnsi="宋体" w:cs="宋体"/>
                <w:bCs/>
                <w:sz w:val="24"/>
              </w:rPr>
              <w:t>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111"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1462"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4</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p>
        </w:tc>
      </w:tr>
      <w:tr>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w:t>
            </w:r>
          </w:p>
        </w:tc>
        <w:tc>
          <w:tcPr>
            <w:tcW w:w="3111" w:type="pct"/>
            <w:tcBorders>
              <w:top w:val="single" w:color="auto" w:sz="4" w:space="0"/>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nil"/>
              <w:bottom w:val="single" w:color="auto" w:sz="4" w:space="0"/>
              <w:right w:val="single" w:color="auto" w:sz="4" w:space="0"/>
            </w:tcBorders>
            <w:vAlign w:val="center"/>
          </w:tcPr>
          <w:p>
            <w:pPr>
              <w:jc w:val="center"/>
              <w:rPr>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513"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pPr>
        <w:rPr>
          <w:bCs/>
          <w:sz w:val="28"/>
          <w:szCs w:val="28"/>
          <w:lang w:val="zh-CN"/>
        </w:rPr>
      </w:pPr>
    </w:p>
    <w:p>
      <w:pPr>
        <w:rPr>
          <w:rFonts w:eastAsia="黑体"/>
          <w:bCs/>
          <w:sz w:val="28"/>
          <w:szCs w:val="28"/>
        </w:rPr>
      </w:pPr>
    </w:p>
    <w:p>
      <w:pPr>
        <w:rPr>
          <w:rFonts w:eastAsia="黑体"/>
          <w:bCs/>
          <w:sz w:val="28"/>
          <w:szCs w:val="28"/>
        </w:rPr>
      </w:pPr>
    </w:p>
    <w:p>
      <w:pPr>
        <w:widowControl/>
        <w:jc w:val="left"/>
        <w:rPr>
          <w:rFonts w:eastAsia="黑体"/>
          <w:bCs/>
          <w:sz w:val="28"/>
          <w:szCs w:val="28"/>
        </w:rPr>
      </w:pPr>
      <w:r>
        <w:rPr>
          <w:rFonts w:eastAsia="黑体"/>
          <w:bCs/>
          <w:sz w:val="28"/>
          <w:szCs w:val="28"/>
        </w:rPr>
        <w:br w:type="page"/>
      </w:r>
    </w:p>
    <w:bookmarkEnd w:id="461"/>
    <w:bookmarkEnd w:id="462"/>
    <w:bookmarkEnd w:id="463"/>
    <w:bookmarkEnd w:id="464"/>
    <w:p>
      <w:pPr>
        <w:pStyle w:val="6"/>
        <w:spacing w:before="120" w:beforeLines="50" w:after="120" w:afterLines="50" w:line="560" w:lineRule="exact"/>
        <w:ind w:firstLine="0" w:firstLineChars="0"/>
        <w:rPr>
          <w:rFonts w:ascii="宋体" w:hAnsi="宋体"/>
          <w:b w:val="0"/>
        </w:rPr>
      </w:pPr>
      <w:bookmarkStart w:id="465" w:name="_Toc17166"/>
      <w:bookmarkStart w:id="466" w:name="_Toc23368"/>
      <w:bookmarkStart w:id="467" w:name="_Toc27075"/>
      <w:bookmarkStart w:id="468" w:name="_Toc112768465"/>
      <w:bookmarkStart w:id="469" w:name="_Toc5191"/>
      <w:bookmarkStart w:id="470" w:name="_Toc13024"/>
      <w:bookmarkStart w:id="471" w:name="_Toc17657"/>
      <w:bookmarkStart w:id="472" w:name="_Toc13625"/>
      <w:bookmarkStart w:id="473" w:name="_Toc18495"/>
      <w:bookmarkStart w:id="474" w:name="_Toc112879349"/>
      <w:bookmarkStart w:id="475" w:name="_Toc5220"/>
      <w:bookmarkStart w:id="476" w:name="_Toc11854"/>
      <w:r>
        <w:rPr>
          <w:rFonts w:hint="eastAsia"/>
          <w:b w:val="0"/>
        </w:rPr>
        <w:t>附件</w:t>
      </w:r>
      <w:r>
        <w:rPr>
          <w:b w:val="0"/>
        </w:rPr>
        <w:t>2-</w:t>
      </w:r>
      <w:r>
        <w:rPr>
          <w:rFonts w:hint="eastAsia"/>
          <w:b w:val="0"/>
        </w:rPr>
        <w:t>2</w:t>
      </w:r>
      <w:r>
        <w:rPr>
          <w:b w:val="0"/>
        </w:rPr>
        <w:t xml:space="preserve"> </w:t>
      </w:r>
      <w:r>
        <w:rPr>
          <w:rFonts w:hint="eastAsia"/>
          <w:b w:val="0"/>
        </w:rPr>
        <w:t>询价函</w:t>
      </w:r>
      <w:bookmarkEnd w:id="465"/>
      <w:bookmarkEnd w:id="466"/>
      <w:bookmarkEnd w:id="467"/>
      <w:bookmarkEnd w:id="468"/>
      <w:bookmarkEnd w:id="469"/>
      <w:bookmarkEnd w:id="470"/>
      <w:bookmarkEnd w:id="471"/>
      <w:bookmarkEnd w:id="472"/>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询价函</w:t>
      </w:r>
    </w:p>
    <w:p>
      <w:pPr>
        <w:spacing w:line="500" w:lineRule="exact"/>
        <w:rPr>
          <w:rFonts w:ascii="宋体" w:hAnsi="宋体" w:cs="宋体"/>
          <w:bCs/>
          <w:sz w:val="28"/>
          <w:szCs w:val="28"/>
        </w:rPr>
      </w:pPr>
      <w:r>
        <w:rPr>
          <w:rFonts w:hint="eastAsia" w:ascii="楷体_GB2312" w:hAnsi="宋体" w:eastAsia="楷体_GB2312"/>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pPr>
        <w:spacing w:line="500" w:lineRule="exact"/>
        <w:ind w:firstLine="560" w:firstLineChars="200"/>
        <w:rPr>
          <w:rFonts w:ascii="宋体" w:hAnsi="宋体" w:cs="宋体"/>
          <w:bCs/>
          <w:sz w:val="28"/>
          <w:szCs w:val="28"/>
        </w:rPr>
      </w:pPr>
      <w:r>
        <w:rPr>
          <w:rFonts w:hint="eastAsia" w:ascii="宋体" w:hAnsi="宋体" w:cs="宋体"/>
          <w:bCs/>
          <w:sz w:val="28"/>
          <w:szCs w:val="28"/>
        </w:rPr>
        <w:t>我方参加贵部组织的</w:t>
      </w:r>
      <w:r>
        <w:rPr>
          <w:rFonts w:hint="eastAsia" w:ascii="宋体" w:hAnsi="宋体" w:cs="宋体"/>
          <w:bCs/>
          <w:sz w:val="28"/>
          <w:szCs w:val="28"/>
          <w:u w:val="single"/>
        </w:rPr>
        <w:t>（项目编号和项目名称）</w:t>
      </w:r>
      <w:r>
        <w:rPr>
          <w:rFonts w:hint="eastAsia" w:ascii="宋体" w:hAnsi="宋体" w:cs="宋体"/>
          <w:bCs/>
          <w:sz w:val="28"/>
          <w:szCs w:val="28"/>
        </w:rPr>
        <w:t>采购活动，并对</w:t>
      </w:r>
      <w:r>
        <w:rPr>
          <w:rFonts w:hint="eastAsia" w:ascii="宋体" w:hAnsi="宋体" w:cs="宋体"/>
          <w:bCs/>
          <w:sz w:val="28"/>
          <w:szCs w:val="28"/>
          <w:u w:val="single"/>
        </w:rPr>
        <w:t>（包号或物资名称）</w:t>
      </w:r>
      <w:r>
        <w:rPr>
          <w:rFonts w:hint="eastAsia" w:ascii="宋体" w:hAnsi="宋体" w:cs="宋体"/>
          <w:bCs/>
          <w:sz w:val="28"/>
          <w:szCs w:val="28"/>
        </w:rPr>
        <w:t>进行询价。</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一、按照询价文件要求提交</w:t>
      </w:r>
      <w:r>
        <w:rPr>
          <w:rFonts w:hint="eastAsia" w:ascii="宋体" w:hAnsi="宋体" w:cs="宋体"/>
          <w:bCs/>
          <w:sz w:val="28"/>
          <w:szCs w:val="28"/>
          <w:lang w:val="zh-CN"/>
        </w:rPr>
        <w:t>报价文件正本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份和副本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w:t>
      </w:r>
      <w:r>
        <w:rPr>
          <w:rFonts w:hint="eastAsia" w:ascii="宋体" w:hAnsi="宋体" w:cs="宋体"/>
          <w:bCs/>
          <w:sz w:val="28"/>
          <w:szCs w:val="28"/>
        </w:rPr>
        <w:t>，电子版报价文件</w:t>
      </w:r>
      <w:r>
        <w:rPr>
          <w:rFonts w:hint="eastAsia" w:ascii="宋体" w:hAnsi="宋体" w:cs="宋体"/>
          <w:bCs/>
          <w:sz w:val="28"/>
          <w:szCs w:val="28"/>
          <w:u w:val="single"/>
        </w:rPr>
        <w:t xml:space="preserve">   </w:t>
      </w:r>
      <w:r>
        <w:rPr>
          <w:rFonts w:hint="eastAsia" w:ascii="宋体" w:hAnsi="宋体" w:cs="宋体"/>
          <w:bCs/>
          <w:sz w:val="28"/>
          <w:szCs w:val="28"/>
        </w:rPr>
        <w:t>份。其中，“价格文件”</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rPr>
        <w:t>份单独密封提交。</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lang w:val="zh-CN"/>
        </w:rPr>
        <w:t>二、我方已完全理解询价文件的全部内容，自愿接受并执行询价文件的全部条款</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三、本报价</w:t>
      </w:r>
      <w:r>
        <w:rPr>
          <w:rFonts w:hint="eastAsia" w:ascii="宋体" w:hAnsi="宋体" w:cs="宋体"/>
          <w:bCs/>
          <w:sz w:val="28"/>
          <w:szCs w:val="28"/>
          <w:lang w:val="zh-CN"/>
        </w:rPr>
        <w:t>有效期自提交报价文件的截止之日起</w:t>
      </w:r>
      <w:r>
        <w:rPr>
          <w:rFonts w:hint="eastAsia" w:ascii="宋体" w:hAnsi="宋体" w:cs="宋体"/>
          <w:bCs/>
          <w:sz w:val="28"/>
          <w:szCs w:val="28"/>
          <w:u w:val="single"/>
          <w:lang w:val="zh-CN"/>
        </w:rPr>
        <w:t xml:space="preserve">     </w:t>
      </w:r>
      <w:r>
        <w:rPr>
          <w:rFonts w:hint="eastAsia" w:ascii="宋体" w:hAnsi="宋体" w:cs="宋体"/>
          <w:bCs/>
          <w:sz w:val="28"/>
          <w:szCs w:val="28"/>
          <w:lang w:val="zh-CN"/>
        </w:rPr>
        <w:t>日内有效</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napToGrid w:val="0"/>
          <w:sz w:val="28"/>
          <w:szCs w:val="28"/>
          <w:lang w:val="zh-CN"/>
        </w:rPr>
      </w:pPr>
      <w:r>
        <w:rPr>
          <w:rFonts w:hint="eastAsia" w:ascii="宋体" w:hAnsi="宋体" w:cs="宋体"/>
          <w:bCs/>
          <w:snapToGrid w:val="0"/>
          <w:sz w:val="28"/>
          <w:szCs w:val="28"/>
          <w:lang w:val="zh-CN"/>
        </w:rPr>
        <w:t>四、我方在参与询价前已仔细研究了询价文件和所有相关</w:t>
      </w:r>
      <w:r>
        <w:rPr>
          <w:rFonts w:hint="eastAsia" w:ascii="宋体" w:hAnsi="宋体"/>
          <w:bCs/>
          <w:sz w:val="28"/>
          <w:szCs w:val="28"/>
        </w:rPr>
        <w:t>材料</w:t>
      </w:r>
      <w:r>
        <w:rPr>
          <w:rFonts w:hint="eastAsia" w:ascii="宋体" w:hAnsi="宋体" w:cs="宋体"/>
          <w:bCs/>
          <w:snapToGrid w:val="0"/>
          <w:sz w:val="28"/>
          <w:szCs w:val="28"/>
          <w:lang w:val="zh-CN"/>
        </w:rPr>
        <w:t>，同意询价文件的相关条款。</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五、我方声明提供的报价文件及一切</w:t>
      </w:r>
      <w:r>
        <w:rPr>
          <w:rFonts w:hint="eastAsia" w:ascii="宋体" w:hAnsi="宋体"/>
          <w:bCs/>
          <w:sz w:val="28"/>
          <w:szCs w:val="28"/>
        </w:rPr>
        <w:t>材料</w:t>
      </w:r>
      <w:r>
        <w:rPr>
          <w:rFonts w:hint="eastAsia" w:ascii="宋体" w:hAnsi="宋体" w:cs="宋体"/>
          <w:bCs/>
          <w:sz w:val="28"/>
          <w:szCs w:val="28"/>
        </w:rPr>
        <w:t>和承诺均真实有效。由于我方提供</w:t>
      </w:r>
      <w:r>
        <w:rPr>
          <w:rFonts w:hint="eastAsia" w:ascii="宋体" w:hAnsi="宋体"/>
          <w:bCs/>
          <w:sz w:val="28"/>
          <w:szCs w:val="28"/>
        </w:rPr>
        <w:t>材料</w:t>
      </w:r>
      <w:r>
        <w:rPr>
          <w:rFonts w:hint="eastAsia" w:ascii="宋体" w:hAnsi="宋体" w:cs="宋体"/>
          <w:bCs/>
          <w:sz w:val="28"/>
          <w:szCs w:val="28"/>
        </w:rPr>
        <w:t>不实而造成的责任和后果由我方承担。我方同意按照贵部要求，提供与询价有关数据或信息。我方承诺完全按照询价文件有关内容履约。</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六、我方承诺自愿遵守、执行军队采购政策法规。</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七、联系方式</w:t>
      </w:r>
    </w:p>
    <w:p>
      <w:pPr>
        <w:spacing w:line="500" w:lineRule="exact"/>
        <w:ind w:firstLine="576" w:firstLineChars="206"/>
        <w:rPr>
          <w:rFonts w:ascii="宋体" w:hAnsi="宋体" w:cs="宋体"/>
          <w:bCs/>
          <w:sz w:val="28"/>
          <w:szCs w:val="28"/>
        </w:rPr>
      </w:pPr>
      <w:r>
        <w:rPr>
          <w:rFonts w:hint="eastAsia" w:ascii="宋体" w:hAnsi="宋体" w:cs="宋体"/>
          <w:bCs/>
          <w:sz w:val="28"/>
          <w:szCs w:val="28"/>
        </w:rPr>
        <w:t>联 系 人：</w:t>
      </w:r>
      <w:r>
        <w:rPr>
          <w:rFonts w:hint="eastAsia" w:ascii="宋体" w:hAnsi="宋体" w:cs="宋体"/>
          <w:bCs/>
          <w:sz w:val="28"/>
          <w:szCs w:val="28"/>
          <w:u w:val="single"/>
        </w:rPr>
        <w:t xml:space="preserve">        </w:t>
      </w:r>
      <w:r>
        <w:rPr>
          <w:rFonts w:hint="eastAsia" w:ascii="宋体" w:hAnsi="宋体" w:cs="宋体"/>
          <w:bCs/>
          <w:sz w:val="28"/>
          <w:szCs w:val="28"/>
        </w:rPr>
        <w:t xml:space="preserve">  电话：</w:t>
      </w:r>
      <w:r>
        <w:rPr>
          <w:rFonts w:hint="eastAsia" w:ascii="宋体" w:hAnsi="宋体" w:cs="宋体"/>
          <w:bCs/>
          <w:sz w:val="28"/>
          <w:szCs w:val="28"/>
          <w:u w:val="single"/>
        </w:rPr>
        <w:t xml:space="preserve">        </w:t>
      </w:r>
      <w:r>
        <w:rPr>
          <w:rFonts w:hint="eastAsia" w:ascii="宋体" w:hAnsi="宋体" w:cs="宋体"/>
          <w:bCs/>
          <w:sz w:val="28"/>
          <w:szCs w:val="28"/>
        </w:rPr>
        <w:t>传真：</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地    址：</w:t>
      </w:r>
      <w:r>
        <w:rPr>
          <w:rFonts w:hint="eastAsia" w:ascii="宋体" w:hAnsi="宋体" w:cs="宋体"/>
          <w:bCs/>
          <w:sz w:val="28"/>
          <w:szCs w:val="28"/>
          <w:u w:val="single"/>
        </w:rPr>
        <w:t xml:space="preserve">                  </w:t>
      </w:r>
      <w:r>
        <w:rPr>
          <w:rFonts w:hint="eastAsia" w:ascii="宋体" w:hAnsi="宋体" w:cs="宋体"/>
          <w:bCs/>
          <w:sz w:val="28"/>
          <w:szCs w:val="28"/>
        </w:rPr>
        <w:t xml:space="preserve">  邮政编码：</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开户名称：</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开户银行：</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ind w:firstLine="576" w:firstLineChars="206"/>
        <w:rPr>
          <w:rFonts w:ascii="宋体" w:hAnsi="宋体" w:cs="宋体"/>
          <w:bCs/>
          <w:sz w:val="28"/>
          <w:szCs w:val="28"/>
          <w:lang w:val="zh-CN"/>
        </w:rPr>
      </w:pPr>
      <w:r>
        <w:rPr>
          <w:rFonts w:hint="eastAsia" w:ascii="宋体" w:hAnsi="宋体" w:cs="宋体"/>
          <w:bCs/>
          <w:sz w:val="28"/>
          <w:szCs w:val="28"/>
        </w:rPr>
        <w:t>银行账号：</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报价供应商全称：（盖章）</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法定代表人（或授权代表）：（签字）</w:t>
      </w:r>
    </w:p>
    <w:p>
      <w:pPr>
        <w:spacing w:line="560" w:lineRule="exact"/>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pStyle w:val="6"/>
        <w:spacing w:before="120" w:beforeLines="50" w:after="120" w:afterLines="50" w:line="560" w:lineRule="exact"/>
        <w:ind w:firstLine="0" w:firstLineChars="0"/>
        <w:rPr>
          <w:rFonts w:ascii="宋体" w:hAnsi="宋体"/>
          <w:b w:val="0"/>
        </w:rPr>
      </w:pPr>
      <w:bookmarkStart w:id="477" w:name="_Toc1860"/>
      <w:bookmarkStart w:id="478" w:name="_Toc3905"/>
      <w:bookmarkStart w:id="479" w:name="_Toc18444"/>
      <w:bookmarkStart w:id="480" w:name="_Toc112768467"/>
      <w:bookmarkStart w:id="481" w:name="_Toc2718"/>
      <w:bookmarkStart w:id="482" w:name="_Toc17366"/>
      <w:bookmarkStart w:id="483" w:name="_Toc121385994"/>
      <w:bookmarkStart w:id="484" w:name="_Toc31085"/>
      <w:bookmarkStart w:id="485" w:name="_Toc121385993"/>
      <w:bookmarkStart w:id="486" w:name="_Toc7432"/>
      <w:bookmarkStart w:id="487" w:name="_Toc19235"/>
      <w:bookmarkStart w:id="488" w:name="_Toc25557"/>
      <w:bookmarkStart w:id="489" w:name="_Toc4327"/>
      <w:bookmarkStart w:id="490" w:name="_Toc112768466"/>
      <w:r>
        <w:rPr>
          <w:rFonts w:hint="eastAsia"/>
          <w:b w:val="0"/>
        </w:rPr>
        <w:t>附件</w:t>
      </w:r>
      <w:r>
        <w:rPr>
          <w:b w:val="0"/>
        </w:rPr>
        <w:t>2-3</w:t>
      </w:r>
      <w:r>
        <w:rPr>
          <w:rFonts w:hint="eastAsia"/>
          <w:b w:val="0"/>
        </w:rPr>
        <w:t>商务条款响应偏离表</w:t>
      </w:r>
      <w:bookmarkEnd w:id="477"/>
      <w:bookmarkEnd w:id="478"/>
      <w:bookmarkEnd w:id="479"/>
      <w:bookmarkEnd w:id="480"/>
      <w:bookmarkEnd w:id="481"/>
      <w:bookmarkEnd w:id="482"/>
      <w:bookmarkEnd w:id="483"/>
    </w:p>
    <w:p>
      <w:pPr>
        <w:spacing w:before="120" w:beforeLines="50" w:after="120" w:afterLines="50" w:line="560" w:lineRule="exact"/>
        <w:ind w:firstLine="720" w:firstLineChars="200"/>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pPr>
        <w:spacing w:line="560" w:lineRule="exact"/>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559"/>
        <w:gridCol w:w="1134"/>
        <w:gridCol w:w="198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商务评审要求</w:t>
            </w:r>
          </w:p>
        </w:tc>
        <w:tc>
          <w:tcPr>
            <w:tcW w:w="155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商务响应</w:t>
            </w:r>
          </w:p>
        </w:tc>
        <w:tc>
          <w:tcPr>
            <w:tcW w:w="1134"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1985"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bCs/>
                <w:sz w:val="24"/>
              </w:rPr>
              <w:t>文件名称∕页码</w:t>
            </w:r>
          </w:p>
        </w:tc>
        <w:tc>
          <w:tcPr>
            <w:tcW w:w="992" w:type="dxa"/>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exact"/>
        </w:trPr>
        <w:tc>
          <w:tcPr>
            <w:tcW w:w="9356" w:type="dxa"/>
            <w:gridSpan w:val="7"/>
            <w:tcBorders>
              <w:top w:val="single" w:color="auto" w:sz="4" w:space="0"/>
              <w:left w:val="single" w:color="auto" w:sz="4" w:space="0"/>
              <w:bottom w:val="single" w:color="auto" w:sz="4" w:space="0"/>
              <w:right w:val="single" w:color="auto" w:sz="4" w:space="0"/>
            </w:tcBorders>
          </w:tcPr>
          <w:p>
            <w:pPr>
              <w:spacing w:before="120" w:beforeLines="50" w:line="276" w:lineRule="auto"/>
              <w:rPr>
                <w:bCs/>
                <w:sz w:val="24"/>
              </w:rPr>
            </w:pPr>
            <w:bookmarkStart w:id="491" w:name="_Hlk127259178"/>
            <w:r>
              <w:rPr>
                <w:rFonts w:hint="eastAsia"/>
                <w:sz w:val="24"/>
              </w:rPr>
              <w:t>说明：</w:t>
            </w:r>
            <w:r>
              <w:rPr>
                <w:rFonts w:hint="eastAsia"/>
                <w:bCs/>
                <w:sz w:val="24"/>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491"/>
          </w:p>
        </w:tc>
      </w:tr>
    </w:tbl>
    <w:p>
      <w:pPr>
        <w:ind w:firstLine="420" w:firstLineChars="200"/>
        <w:rPr>
          <w:rFonts w:ascii="宋体" w:hAnsi="宋体"/>
          <w:bCs/>
        </w:rPr>
      </w:pPr>
    </w:p>
    <w:p>
      <w:pPr>
        <w:spacing w:line="560" w:lineRule="exact"/>
        <w:rPr>
          <w:bCs/>
          <w:sz w:val="28"/>
          <w:szCs w:val="28"/>
        </w:rPr>
      </w:pPr>
    </w:p>
    <w:p>
      <w:pPr>
        <w:spacing w:line="560" w:lineRule="exact"/>
        <w:ind w:firstLine="3920" w:firstLineChars="1400"/>
        <w:rPr>
          <w:bCs/>
          <w:sz w:val="28"/>
          <w:szCs w:val="28"/>
        </w:rPr>
      </w:pPr>
      <w:r>
        <w:rPr>
          <w:rFonts w:hint="eastAsia"/>
          <w:bCs/>
          <w:sz w:val="28"/>
          <w:szCs w:val="28"/>
        </w:rPr>
        <w:t>报价供应商全称：（盖章）</w:t>
      </w:r>
    </w:p>
    <w:p>
      <w:pPr>
        <w:spacing w:line="560" w:lineRule="exact"/>
        <w:jc w:val="right"/>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bCs/>
          <w:sz w:val="28"/>
          <w:szCs w:val="28"/>
        </w:rPr>
      </w:pPr>
      <w:r>
        <w:rPr>
          <w:bCs/>
          <w:sz w:val="28"/>
          <w:szCs w:val="28"/>
        </w:rPr>
        <w:br w:type="page"/>
      </w:r>
    </w:p>
    <w:p>
      <w:pPr>
        <w:pStyle w:val="6"/>
        <w:spacing w:before="120" w:beforeLines="50" w:after="120" w:afterLines="50" w:line="560" w:lineRule="exact"/>
        <w:ind w:firstLine="0" w:firstLineChars="0"/>
        <w:rPr>
          <w:b w:val="0"/>
        </w:rPr>
      </w:pPr>
      <w:r>
        <w:rPr>
          <w:rFonts w:hint="eastAsia"/>
          <w:b w:val="0"/>
        </w:rPr>
        <w:t>附件</w:t>
      </w:r>
      <w:r>
        <w:rPr>
          <w:b w:val="0"/>
        </w:rPr>
        <w:t xml:space="preserve">2-4 </w:t>
      </w:r>
      <w:r>
        <w:rPr>
          <w:rFonts w:hint="eastAsia"/>
          <w:b w:val="0"/>
        </w:rPr>
        <w:t>技术指标参数响应偏离表</w:t>
      </w:r>
      <w:bookmarkEnd w:id="484"/>
      <w:bookmarkEnd w:id="485"/>
      <w:bookmarkEnd w:id="486"/>
      <w:bookmarkEnd w:id="487"/>
      <w:bookmarkEnd w:id="488"/>
      <w:bookmarkEnd w:id="489"/>
      <w:bookmarkEnd w:id="490"/>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技术指标参数响应偏离表</w:t>
      </w:r>
    </w:p>
    <w:p>
      <w:pPr>
        <w:rPr>
          <w:bCs/>
          <w:sz w:val="28"/>
          <w:szCs w:val="28"/>
        </w:rPr>
      </w:pPr>
      <w:r>
        <w:rPr>
          <w:rFonts w:hint="eastAsia"/>
          <w:bCs/>
          <w:sz w:val="28"/>
          <w:szCs w:val="28"/>
        </w:rPr>
        <w:t>项目名称：</w:t>
      </w:r>
      <w:r>
        <w:rPr>
          <w:rFonts w:ascii="宋体" w:hAnsi="宋体"/>
          <w:bCs/>
          <w:sz w:val="28"/>
          <w:szCs w:val="28"/>
          <w:u w:val="single"/>
        </w:rPr>
        <w:t xml:space="preserve">            </w:t>
      </w:r>
      <w:r>
        <w:rPr>
          <w:rFonts w:hint="eastAsia"/>
          <w:bCs/>
          <w:sz w:val="28"/>
          <w:szCs w:val="28"/>
        </w:rPr>
        <w:t xml:space="preserve"> 项目编号：</w:t>
      </w:r>
      <w:r>
        <w:rPr>
          <w:rFonts w:ascii="宋体" w:hAnsi="宋体"/>
          <w:bCs/>
          <w:sz w:val="28"/>
          <w:szCs w:val="28"/>
          <w:u w:val="single"/>
        </w:rPr>
        <w:t xml:space="preserve">            </w:t>
      </w:r>
      <w:r>
        <w:rPr>
          <w:rFonts w:hint="eastAsia"/>
          <w:bCs/>
          <w:sz w:val="28"/>
          <w:szCs w:val="28"/>
        </w:rPr>
        <w:t xml:space="preserve"> 包号：</w:t>
      </w:r>
      <w:r>
        <w:rPr>
          <w:rFonts w:ascii="宋体" w:hAnsi="宋体"/>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701"/>
        <w:gridCol w:w="992"/>
        <w:gridCol w:w="2051"/>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技术评审要求</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技术参数响应</w:t>
            </w:r>
          </w:p>
        </w:tc>
        <w:tc>
          <w:tcPr>
            <w:tcW w:w="992"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205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文件名称∕页码</w:t>
            </w:r>
          </w:p>
        </w:tc>
        <w:tc>
          <w:tcPr>
            <w:tcW w:w="92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exact"/>
        </w:trPr>
        <w:tc>
          <w:tcPr>
            <w:tcW w:w="9356" w:type="dxa"/>
            <w:gridSpan w:val="7"/>
            <w:tcBorders>
              <w:top w:val="single" w:color="auto" w:sz="4" w:space="0"/>
              <w:left w:val="single" w:color="auto" w:sz="4" w:space="0"/>
              <w:bottom w:val="single" w:color="auto" w:sz="4" w:space="0"/>
              <w:right w:val="single" w:color="auto" w:sz="4" w:space="0"/>
            </w:tcBorders>
          </w:tcPr>
          <w:p>
            <w:pPr>
              <w:spacing w:line="276" w:lineRule="auto"/>
              <w:rPr>
                <w:bCs/>
                <w:sz w:val="24"/>
              </w:rPr>
            </w:pPr>
            <w:r>
              <w:rPr>
                <w:rFonts w:hint="eastAsia"/>
                <w:bCs/>
                <w:sz w:val="24"/>
              </w:rPr>
              <w:t>说明：报价供应商应当对照专用文件技术要求，逐条如实填写所投物资的具体技术评审参数，注明无偏离、正偏离或负偏离，并在备注中注明偏离的具体内容。技术指标参数响应栏如果原文完全复制询价文件技术要求，作无效报价处理。负偏离应当如实注明。本表中带“★”号条款出现负偏离，视为无效报价。</w:t>
            </w:r>
          </w:p>
        </w:tc>
      </w:tr>
    </w:tbl>
    <w:p>
      <w:pPr>
        <w:rPr>
          <w:bCs/>
        </w:rPr>
      </w:pPr>
    </w:p>
    <w:p>
      <w:pPr>
        <w:rPr>
          <w:bCs/>
        </w:rPr>
      </w:pPr>
    </w:p>
    <w:p>
      <w:pPr>
        <w:rPr>
          <w:bCs/>
        </w:rPr>
      </w:pPr>
    </w:p>
    <w:p>
      <w:pPr>
        <w:spacing w:line="360" w:lineRule="auto"/>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360" w:lineRule="auto"/>
        <w:ind w:firstLine="560" w:firstLineChars="200"/>
        <w:jc w:val="left"/>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6"/>
        <w:spacing w:before="120" w:beforeLines="50" w:after="120" w:afterLines="50" w:line="560" w:lineRule="exact"/>
        <w:ind w:firstLine="0" w:firstLineChars="0"/>
        <w:rPr>
          <w:b w:val="0"/>
        </w:rPr>
      </w:pPr>
      <w:r>
        <w:rPr>
          <w:b w:val="0"/>
        </w:rPr>
        <w:br w:type="page"/>
      </w:r>
      <w:bookmarkEnd w:id="473"/>
      <w:bookmarkEnd w:id="474"/>
      <w:bookmarkEnd w:id="475"/>
      <w:bookmarkEnd w:id="476"/>
      <w:bookmarkStart w:id="492" w:name="_Toc8732"/>
      <w:bookmarkStart w:id="493" w:name="_Toc112768471"/>
      <w:bookmarkStart w:id="494" w:name="_Toc17638"/>
      <w:bookmarkStart w:id="495" w:name="_Toc30559"/>
      <w:bookmarkStart w:id="496" w:name="_Toc15934"/>
      <w:bookmarkStart w:id="497" w:name="_Toc30639"/>
      <w:bookmarkStart w:id="498" w:name="_Toc3498"/>
      <w:bookmarkStart w:id="499" w:name="_Toc13868"/>
      <w:bookmarkStart w:id="500" w:name="_Toc112879351"/>
      <w:bookmarkStart w:id="501" w:name="_Toc24634"/>
      <w:bookmarkStart w:id="502" w:name="_Toc7754"/>
      <w:bookmarkStart w:id="503" w:name="_Toc20763"/>
    </w:p>
    <w:p>
      <w:pPr>
        <w:pStyle w:val="6"/>
        <w:spacing w:before="120" w:beforeLines="50" w:after="120" w:afterLines="50" w:line="560" w:lineRule="exact"/>
        <w:ind w:firstLine="0" w:firstLineChars="0"/>
        <w:rPr>
          <w:b w:val="0"/>
        </w:rPr>
      </w:pPr>
      <w:bookmarkStart w:id="504" w:name="_Toc25755"/>
      <w:bookmarkStart w:id="505" w:name="_Toc21434"/>
      <w:bookmarkStart w:id="506" w:name="_Toc112768469"/>
      <w:bookmarkStart w:id="507" w:name="_Toc3267"/>
      <w:bookmarkStart w:id="508" w:name="_Toc29285"/>
      <w:bookmarkStart w:id="509" w:name="_Toc9280"/>
      <w:bookmarkStart w:id="510" w:name="_Toc16278"/>
      <w:bookmarkStart w:id="511" w:name="_Toc24167"/>
      <w:r>
        <w:rPr>
          <w:rFonts w:hint="eastAsia"/>
          <w:b w:val="0"/>
        </w:rPr>
        <w:t>附件2-</w:t>
      </w:r>
      <w:r>
        <w:rPr>
          <w:b w:val="0"/>
        </w:rPr>
        <w:t>5</w:t>
      </w:r>
      <w:r>
        <w:rPr>
          <w:rFonts w:hint="eastAsia"/>
          <w:b w:val="0"/>
        </w:rPr>
        <w:t xml:space="preserve"> 交货清单</w:t>
      </w:r>
    </w:p>
    <w:p>
      <w:pPr>
        <w:spacing w:before="120" w:beforeLines="50" w:after="120"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3"/>
        <w:gridCol w:w="1137"/>
        <w:gridCol w:w="675"/>
        <w:gridCol w:w="1093"/>
        <w:gridCol w:w="845"/>
        <w:gridCol w:w="920"/>
        <w:gridCol w:w="985"/>
        <w:gridCol w:w="672"/>
        <w:gridCol w:w="672"/>
        <w:gridCol w:w="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序号</w:t>
            </w:r>
          </w:p>
        </w:tc>
        <w:tc>
          <w:tcPr>
            <w:tcW w:w="667"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物资名称</w:t>
            </w:r>
          </w:p>
        </w:tc>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品牌</w:t>
            </w:r>
          </w:p>
        </w:tc>
        <w:tc>
          <w:tcPr>
            <w:tcW w:w="64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规格型号</w:t>
            </w:r>
          </w:p>
        </w:tc>
        <w:tc>
          <w:tcPr>
            <w:tcW w:w="4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单位</w:t>
            </w:r>
          </w:p>
        </w:tc>
        <w:tc>
          <w:tcPr>
            <w:tcW w:w="540" w:type="pct"/>
            <w:tcBorders>
              <w:top w:val="single" w:color="000000" w:sz="4" w:space="0"/>
              <w:left w:val="single" w:color="auto" w:sz="4" w:space="0"/>
              <w:bottom w:val="single" w:color="000000" w:sz="4" w:space="0"/>
              <w:right w:val="single" w:color="auto" w:sz="4" w:space="0"/>
            </w:tcBorders>
            <w:vAlign w:val="center"/>
          </w:tcPr>
          <w:p>
            <w:pPr>
              <w:widowControl/>
              <w:jc w:val="center"/>
              <w:rPr>
                <w:sz w:val="24"/>
              </w:rPr>
            </w:pPr>
            <w:r>
              <w:rPr>
                <w:rFonts w:hint="eastAsia"/>
                <w:sz w:val="24"/>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sz w:val="24"/>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交货地点</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bl>
    <w:p>
      <w:pPr>
        <w:rPr>
          <w:snapToGrid w:val="0"/>
          <w:sz w:val="32"/>
          <w:szCs w:val="32"/>
        </w:rPr>
      </w:pPr>
    </w:p>
    <w:p>
      <w:pPr>
        <w:rPr>
          <w:snapToGrid w:val="0"/>
          <w:sz w:val="32"/>
          <w:szCs w:val="32"/>
        </w:rPr>
      </w:pPr>
    </w:p>
    <w:p>
      <w:pPr>
        <w:rPr>
          <w:snapToGrid w:val="0"/>
          <w:sz w:val="32"/>
          <w:szCs w:val="32"/>
        </w:rPr>
      </w:pPr>
    </w:p>
    <w:p>
      <w:pPr>
        <w:autoSpaceDE w:val="0"/>
        <w:autoSpaceDN w:val="0"/>
        <w:adjustRightInd w:val="0"/>
        <w:ind w:firstLine="352" w:firstLineChars="168"/>
        <w:rPr>
          <w:snapToGrid w:val="0"/>
          <w:lang w:val="zh-CN"/>
        </w:rPr>
      </w:pPr>
    </w:p>
    <w:p>
      <w:pPr>
        <w:spacing w:line="560" w:lineRule="exact"/>
        <w:ind w:firstLine="4888" w:firstLineChars="1746"/>
        <w:rPr>
          <w:bCs/>
          <w:sz w:val="28"/>
          <w:szCs w:val="28"/>
        </w:rPr>
      </w:pPr>
      <w:r>
        <w:rPr>
          <w:rFonts w:hint="eastAsia"/>
          <w:bCs/>
          <w:sz w:val="28"/>
          <w:szCs w:val="28"/>
        </w:rPr>
        <w:t>报价供应商全称：（盖章）</w:t>
      </w:r>
    </w:p>
    <w:p>
      <w:pPr>
        <w:spacing w:line="560" w:lineRule="exact"/>
        <w:ind w:left="3219" w:leftChars="1533" w:firstLine="1680" w:firstLineChars="600"/>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jc w:val="center"/>
      </w:pPr>
      <w:r>
        <w:br w:type="page"/>
      </w:r>
    </w:p>
    <w:p>
      <w:pPr>
        <w:pStyle w:val="6"/>
        <w:spacing w:before="120" w:beforeLines="50" w:after="120" w:afterLines="50" w:line="560" w:lineRule="exact"/>
        <w:ind w:firstLine="0" w:firstLineChars="0"/>
        <w:rPr>
          <w:b w:val="0"/>
        </w:rPr>
      </w:pPr>
      <w:r>
        <w:rPr>
          <w:rFonts w:hint="eastAsia"/>
          <w:b w:val="0"/>
        </w:rPr>
        <w:t>※附件</w:t>
      </w:r>
      <w:r>
        <w:rPr>
          <w:b w:val="0"/>
        </w:rPr>
        <w:t>2-6</w:t>
      </w:r>
      <w:r>
        <w:rPr>
          <w:rFonts w:hint="eastAsia"/>
          <w:b w:val="0"/>
        </w:rPr>
        <w:t xml:space="preserve"> 易损易耗件清单</w:t>
      </w:r>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w:t>
      </w:r>
    </w:p>
    <w:p>
      <w:pPr>
        <w:rPr>
          <w:bCs/>
          <w:sz w:val="28"/>
          <w:szCs w:val="28"/>
        </w:rPr>
      </w:pP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1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275"/>
        <w:gridCol w:w="993"/>
        <w:gridCol w:w="992"/>
        <w:gridCol w:w="1134"/>
        <w:gridCol w:w="1134"/>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易损易耗件名称</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规格型号</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bl>
    <w:p>
      <w:pPr>
        <w:rPr>
          <w:bCs/>
          <w:sz w:val="28"/>
          <w:szCs w:val="28"/>
        </w:rPr>
      </w:pPr>
    </w:p>
    <w:p>
      <w:pPr>
        <w:spacing w:line="560" w:lineRule="exact"/>
        <w:rPr>
          <w:bCs/>
          <w:sz w:val="28"/>
          <w:szCs w:val="28"/>
        </w:rPr>
      </w:pP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r>
        <w:rPr>
          <w:rFonts w:hint="eastAsia"/>
        </w:rPr>
        <w:t xml:space="preserve"> </w:t>
      </w:r>
    </w:p>
    <w:p/>
    <w:p>
      <w:pPr>
        <w:widowControl/>
        <w:jc w:val="left"/>
        <w:rPr>
          <w:rFonts w:ascii="Arial" w:hAnsi="Arial" w:eastAsia="黑体"/>
          <w:bCs/>
          <w:sz w:val="28"/>
          <w:szCs w:val="28"/>
        </w:rPr>
      </w:pPr>
      <w:r>
        <w:rPr>
          <w:b/>
        </w:rPr>
        <w:br w:type="page"/>
      </w:r>
    </w:p>
    <w:p>
      <w:pPr>
        <w:pStyle w:val="6"/>
        <w:spacing w:before="120" w:beforeLines="50" w:after="120" w:afterLines="50" w:line="560" w:lineRule="exact"/>
        <w:ind w:firstLine="0" w:firstLineChars="0"/>
        <w:rPr>
          <w:rFonts w:ascii="宋体" w:hAnsi="宋体"/>
        </w:rPr>
      </w:pPr>
      <w:r>
        <w:rPr>
          <w:rFonts w:hint="eastAsia"/>
          <w:b w:val="0"/>
        </w:rPr>
        <w:t>附件</w:t>
      </w:r>
      <w:r>
        <w:rPr>
          <w:b w:val="0"/>
        </w:rPr>
        <w:t xml:space="preserve">2-7 </w:t>
      </w:r>
      <w:r>
        <w:rPr>
          <w:rFonts w:hint="eastAsia"/>
          <w:b w:val="0"/>
        </w:rPr>
        <w:t>售后服务方案</w:t>
      </w:r>
      <w:bookmarkEnd w:id="504"/>
      <w:bookmarkEnd w:id="505"/>
      <w:bookmarkEnd w:id="506"/>
      <w:bookmarkEnd w:id="507"/>
      <w:bookmarkEnd w:id="508"/>
      <w:bookmarkEnd w:id="509"/>
      <w:bookmarkEnd w:id="510"/>
      <w:bookmarkEnd w:id="511"/>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pPr>
        <w:ind w:firstLine="560" w:firstLineChars="200"/>
        <w:jc w:val="left"/>
        <w:rPr>
          <w:bCs/>
          <w:sz w:val="28"/>
          <w:szCs w:val="28"/>
          <w:lang w:val="zh-CN"/>
        </w:rPr>
      </w:pPr>
      <w:r>
        <w:rPr>
          <w:rFonts w:hint="eastAsia"/>
          <w:bCs/>
          <w:sz w:val="28"/>
          <w:szCs w:val="28"/>
          <w:lang w:val="zh-CN"/>
        </w:rPr>
        <w:t>（由报价供应商根据项目需求及技术评审表中“售后服务”评审细则自行拟定）</w:t>
      </w: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pStyle w:val="6"/>
        <w:spacing w:before="120" w:beforeLines="50" w:after="120" w:afterLines="50" w:line="560" w:lineRule="exact"/>
        <w:ind w:firstLine="0" w:firstLineChars="0"/>
        <w:rPr>
          <w:b w:val="0"/>
        </w:rPr>
      </w:pPr>
      <w:r>
        <w:rPr>
          <w:b w:val="0"/>
          <w:lang w:val="zh-CN"/>
        </w:rPr>
        <w:br w:type="page"/>
      </w:r>
      <w:r>
        <w:rPr>
          <w:rFonts w:hint="eastAsia"/>
          <w:b w:val="0"/>
        </w:rPr>
        <w:t>※附件</w:t>
      </w:r>
      <w:r>
        <w:rPr>
          <w:b w:val="0"/>
        </w:rPr>
        <w:t>2-8</w:t>
      </w:r>
      <w:r>
        <w:rPr>
          <w:rFonts w:hint="eastAsia"/>
          <w:b w:val="0"/>
        </w:rPr>
        <w:t xml:space="preserve"> 技术方案和所询价产品技术支持</w:t>
      </w:r>
      <w:bookmarkEnd w:id="492"/>
      <w:bookmarkEnd w:id="493"/>
      <w:bookmarkEnd w:id="494"/>
      <w:bookmarkEnd w:id="495"/>
      <w:bookmarkEnd w:id="496"/>
      <w:bookmarkEnd w:id="497"/>
      <w:r>
        <w:rPr>
          <w:rFonts w:hint="eastAsia"/>
          <w:b w:val="0"/>
        </w:rPr>
        <w:t>材料</w:t>
      </w:r>
      <w:bookmarkEnd w:id="498"/>
      <w:bookmarkEnd w:id="499"/>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技术方案和所询价产品技术支持材料</w:t>
      </w:r>
    </w:p>
    <w:p>
      <w:pPr>
        <w:spacing w:line="560" w:lineRule="exact"/>
        <w:ind w:firstLine="560" w:firstLineChars="200"/>
        <w:rPr>
          <w:bCs/>
          <w:sz w:val="28"/>
          <w:szCs w:val="28"/>
          <w:lang w:val="zh-CN"/>
        </w:rPr>
      </w:pPr>
      <w:r>
        <w:rPr>
          <w:rFonts w:hint="eastAsia"/>
          <w:bCs/>
          <w:sz w:val="28"/>
          <w:szCs w:val="28"/>
          <w:lang w:val="zh-CN"/>
        </w:rPr>
        <w:t>（由报价供应商自行拟制技术方案，并按技术评审标准附相关证明材料，例如：生产、加工、制造、工艺控制及质量控制等。）</w:t>
      </w:r>
      <w:bookmarkEnd w:id="500"/>
      <w:bookmarkEnd w:id="501"/>
      <w:bookmarkEnd w:id="502"/>
      <w:bookmarkEnd w:id="503"/>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ind w:firstLine="4305" w:firstLineChars="2050"/>
        <w:rPr>
          <w:rFonts w:eastAsia="黑体"/>
          <w:bCs/>
          <w:sz w:val="28"/>
          <w:szCs w:val="28"/>
        </w:rPr>
      </w:pPr>
      <w:r>
        <w:rPr>
          <w:bCs/>
          <w:lang w:val="zh-CN"/>
        </w:rPr>
        <w:br w:type="page"/>
      </w:r>
    </w:p>
    <w:p>
      <w:pPr>
        <w:pStyle w:val="6"/>
        <w:spacing w:before="120" w:beforeLines="50" w:after="120" w:afterLines="50" w:line="560" w:lineRule="exact"/>
        <w:ind w:firstLine="0" w:firstLineChars="0"/>
        <w:rPr>
          <w:b w:val="0"/>
        </w:rPr>
      </w:pPr>
      <w:bookmarkStart w:id="512" w:name="_Toc31496"/>
      <w:bookmarkStart w:id="513" w:name="_Toc112768476"/>
      <w:bookmarkStart w:id="514" w:name="_Toc28077"/>
      <w:bookmarkStart w:id="515" w:name="_Toc12980"/>
      <w:bookmarkStart w:id="516" w:name="_Toc31159"/>
      <w:bookmarkStart w:id="517" w:name="_Toc1308"/>
      <w:bookmarkStart w:id="518" w:name="_Toc28279"/>
      <w:bookmarkStart w:id="519" w:name="_Toc6544"/>
      <w:bookmarkStart w:id="520" w:name="_Toc112879352"/>
      <w:bookmarkStart w:id="521" w:name="_Toc4101"/>
      <w:bookmarkStart w:id="522" w:name="_Toc737"/>
      <w:bookmarkStart w:id="523" w:name="_Toc5069"/>
      <w:r>
        <w:rPr>
          <w:rFonts w:hint="eastAsia"/>
          <w:b w:val="0"/>
        </w:rPr>
        <w:t>※附件2-</w:t>
      </w:r>
      <w:r>
        <w:rPr>
          <w:b w:val="0"/>
        </w:rPr>
        <w:t xml:space="preserve">9 </w:t>
      </w:r>
      <w:r>
        <w:rPr>
          <w:rFonts w:hint="eastAsia"/>
          <w:b w:val="0"/>
        </w:rPr>
        <w:t>其他</w:t>
      </w:r>
      <w:r>
        <w:rPr>
          <w:rFonts w:hint="eastAsia" w:ascii="宋体" w:hAnsi="宋体"/>
          <w:b w:val="0"/>
        </w:rPr>
        <w:t>材料</w:t>
      </w:r>
      <w:bookmarkEnd w:id="512"/>
      <w:bookmarkEnd w:id="513"/>
      <w:bookmarkEnd w:id="514"/>
      <w:bookmarkEnd w:id="515"/>
      <w:bookmarkEnd w:id="516"/>
      <w:bookmarkEnd w:id="517"/>
      <w:bookmarkEnd w:id="518"/>
      <w:bookmarkEnd w:id="519"/>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pPr>
        <w:jc w:val="center"/>
        <w:rPr>
          <w:bCs/>
          <w:sz w:val="28"/>
          <w:szCs w:val="28"/>
        </w:rPr>
      </w:pPr>
      <w:r>
        <w:rPr>
          <w:rFonts w:hint="eastAsia"/>
          <w:bCs/>
          <w:sz w:val="28"/>
          <w:szCs w:val="28"/>
        </w:rPr>
        <w:t>（报价供应商根据评审内容，自行添加其他资料）</w:t>
      </w:r>
    </w:p>
    <w:p>
      <w:pPr>
        <w:widowControl/>
        <w:jc w:val="left"/>
        <w:rPr>
          <w:bCs/>
          <w:sz w:val="28"/>
          <w:szCs w:val="28"/>
        </w:rPr>
      </w:pPr>
      <w:r>
        <w:rPr>
          <w:bCs/>
          <w:sz w:val="28"/>
          <w:szCs w:val="28"/>
        </w:rPr>
        <w:br w:type="page"/>
      </w:r>
    </w:p>
    <w:bookmarkEnd w:id="520"/>
    <w:bookmarkEnd w:id="521"/>
    <w:bookmarkEnd w:id="522"/>
    <w:bookmarkEnd w:id="523"/>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524" w:name="_Toc132636827"/>
      <w:bookmarkStart w:id="525" w:name="_Toc150422552"/>
      <w:bookmarkStart w:id="526" w:name="_Toc150422498"/>
      <w:r>
        <w:rPr>
          <w:rFonts w:hint="eastAsia" w:ascii="方正小标宋简体" w:eastAsia="方正小标宋简体"/>
          <w:bCs/>
          <w:sz w:val="52"/>
          <w:szCs w:val="52"/>
        </w:rPr>
        <w:t>三、资格证明文件</w:t>
      </w:r>
      <w:bookmarkEnd w:id="524"/>
      <w:bookmarkEnd w:id="525"/>
      <w:bookmarkEnd w:id="526"/>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ind w:firstLine="3600" w:firstLineChars="1000"/>
        <w:rPr>
          <w:rFonts w:ascii="方正小标宋简体" w:eastAsia="方正小标宋简体"/>
          <w:bCs/>
          <w:sz w:val="36"/>
          <w:szCs w:val="36"/>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widowControl/>
        <w:jc w:val="left"/>
        <w:rPr>
          <w:rFonts w:ascii="Arial" w:hAnsi="Arial" w:eastAsia="黑体"/>
          <w:bCs/>
          <w:sz w:val="28"/>
          <w:szCs w:val="28"/>
        </w:rPr>
      </w:pPr>
      <w:bookmarkStart w:id="527" w:name="_Toc14976"/>
      <w:bookmarkStart w:id="528" w:name="_Toc8416"/>
      <w:bookmarkStart w:id="529" w:name="_Toc917"/>
      <w:bookmarkStart w:id="530" w:name="_Toc7783"/>
      <w:bookmarkStart w:id="531" w:name="_Toc5235"/>
      <w:bookmarkStart w:id="532" w:name="_Toc4035"/>
      <w:bookmarkStart w:id="533" w:name="_Toc6383"/>
      <w:bookmarkStart w:id="534" w:name="_Toc112768478"/>
      <w:bookmarkStart w:id="535" w:name="_Toc2185"/>
      <w:bookmarkStart w:id="536" w:name="_Toc112879354"/>
      <w:bookmarkStart w:id="537" w:name="_Toc1458"/>
      <w:bookmarkStart w:id="538" w:name="_Toc19418"/>
      <w:r>
        <w:rPr>
          <w:b/>
        </w:rPr>
        <w:br w:type="page"/>
      </w:r>
    </w:p>
    <w:p>
      <w:pPr>
        <w:pStyle w:val="6"/>
        <w:spacing w:before="120" w:beforeLines="50" w:after="120" w:afterLines="50" w:line="560" w:lineRule="exact"/>
        <w:ind w:firstLine="0" w:firstLineChars="0"/>
        <w:rPr>
          <w:b w:val="0"/>
          <w:lang w:val="zh-CN"/>
        </w:rPr>
      </w:pPr>
      <w:r>
        <w:rPr>
          <w:rFonts w:hint="eastAsia"/>
          <w:b w:val="0"/>
        </w:rPr>
        <w:t>附件</w:t>
      </w:r>
      <w:r>
        <w:rPr>
          <w:b w:val="0"/>
        </w:rPr>
        <w:t xml:space="preserve">3-1 </w:t>
      </w:r>
      <w:r>
        <w:rPr>
          <w:rFonts w:hint="eastAsia"/>
          <w:b w:val="0"/>
        </w:rPr>
        <w:t>资格证明文件索引表</w:t>
      </w:r>
      <w:bookmarkEnd w:id="527"/>
      <w:bookmarkEnd w:id="528"/>
      <w:bookmarkEnd w:id="529"/>
      <w:bookmarkEnd w:id="530"/>
      <w:bookmarkEnd w:id="531"/>
      <w:bookmarkEnd w:id="532"/>
      <w:bookmarkEnd w:id="533"/>
      <w:bookmarkEnd w:id="534"/>
    </w:p>
    <w:p>
      <w:pPr>
        <w:spacing w:before="120" w:beforeLines="50" w:after="120" w:afterLines="50" w:line="560" w:lineRule="exact"/>
        <w:jc w:val="center"/>
        <w:rPr>
          <w:rFonts w:ascii="方正小标宋简体" w:hAnsi="宋体" w:eastAsia="方正小标宋简体"/>
          <w:bCs/>
          <w:sz w:val="36"/>
          <w:szCs w:val="36"/>
        </w:rPr>
      </w:pPr>
      <w:r>
        <w:rPr>
          <w:rFonts w:hint="eastAsia" w:ascii="黑体" w:hAnsi="黑体" w:eastAsia="黑体" w:cs="黑体"/>
          <w:bCs/>
          <w:sz w:val="36"/>
          <w:szCs w:val="36"/>
        </w:rPr>
        <w:t>资格证明文件索引表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报价供应商务必在资格证明文件正文前制作本索引表。</w:t>
      </w:r>
    </w:p>
    <w:tbl>
      <w:tblPr>
        <w:tblStyle w:val="12"/>
        <w:tblW w:w="5000" w:type="pct"/>
        <w:jc w:val="center"/>
        <w:tblLayout w:type="fixed"/>
        <w:tblCellMar>
          <w:top w:w="0" w:type="dxa"/>
          <w:left w:w="108" w:type="dxa"/>
          <w:bottom w:w="0" w:type="dxa"/>
          <w:right w:w="108" w:type="dxa"/>
        </w:tblCellMar>
      </w:tblPr>
      <w:tblGrid>
        <w:gridCol w:w="728"/>
        <w:gridCol w:w="6185"/>
        <w:gridCol w:w="1609"/>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629"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资格性审查</w:t>
            </w:r>
            <w:r>
              <w:rPr>
                <w:rFonts w:hint="eastAsia" w:ascii="宋体" w:hAnsi="宋体" w:cs="宋体"/>
                <w:bCs/>
                <w:sz w:val="24"/>
              </w:rPr>
              <w:t>项目</w:t>
            </w:r>
          </w:p>
        </w:tc>
        <w:tc>
          <w:tcPr>
            <w:tcW w:w="944"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资格证明文件位置页码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629"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944"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r>
              <w:rPr>
                <w:rFonts w:hint="eastAsia"/>
                <w:bCs/>
                <w:sz w:val="24"/>
              </w:rPr>
              <w:t>一</w:t>
            </w: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一般资格性审查内容</w:t>
            </w: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二</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r>
              <w:rPr>
                <w:rFonts w:hint="eastAsia"/>
                <w:bCs/>
                <w:sz w:val="24"/>
              </w:rPr>
              <w:t>特定资格性审查内容</w:t>
            </w: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268"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资格性审查表》编制此表。报价供应商应当根据本单位实际情况和报价文件内容填写，并标注相关证明材料在资格证明文件的位置页码。“密封满足询价文件要求”可以不填写。报价供应商不得虚报、瞒报、漏报或虚假承诺。</w:t>
            </w:r>
          </w:p>
        </w:tc>
      </w:tr>
      <w:bookmarkEnd w:id="535"/>
      <w:bookmarkEnd w:id="536"/>
      <w:bookmarkEnd w:id="537"/>
      <w:bookmarkEnd w:id="538"/>
    </w:tbl>
    <w:p>
      <w:pPr>
        <w:rPr>
          <w:lang w:val="zh-CN"/>
        </w:rPr>
      </w:pPr>
      <w:bookmarkStart w:id="539" w:name="_Toc12871"/>
      <w:bookmarkStart w:id="540" w:name="_Toc19518"/>
      <w:bookmarkStart w:id="541" w:name="_Toc21322"/>
      <w:bookmarkStart w:id="542" w:name="_Toc28654"/>
      <w:bookmarkStart w:id="543" w:name="_Toc15491"/>
      <w:bookmarkStart w:id="544" w:name="_Toc19412"/>
      <w:bookmarkStart w:id="545" w:name="_Toc17617"/>
      <w:bookmarkStart w:id="546" w:name="_Toc17703"/>
      <w:bookmarkStart w:id="547" w:name="_Toc530"/>
      <w:bookmarkStart w:id="548" w:name="_Toc19133"/>
      <w:bookmarkStart w:id="549" w:name="_Toc10581"/>
      <w:bookmarkStart w:id="550" w:name="_Toc112879355"/>
      <w:bookmarkStart w:id="551" w:name="_Toc112768479"/>
      <w:r>
        <w:rPr>
          <w:rFonts w:hint="eastAsia"/>
          <w:lang w:val="zh-CN"/>
        </w:rPr>
        <w:br w:type="page"/>
      </w:r>
    </w:p>
    <w:p>
      <w:pPr>
        <w:pStyle w:val="6"/>
        <w:spacing w:before="120" w:beforeLines="50" w:after="120" w:afterLines="50" w:line="560" w:lineRule="exact"/>
        <w:ind w:firstLine="0" w:firstLineChars="0"/>
        <w:rPr>
          <w:b w:val="0"/>
          <w:lang w:val="zh-CN"/>
        </w:rPr>
      </w:pPr>
      <w:bookmarkStart w:id="552" w:name="_Toc7458"/>
      <w:bookmarkStart w:id="553" w:name="_Toc5031"/>
      <w:r>
        <w:rPr>
          <w:rFonts w:hint="eastAsia"/>
          <w:b w:val="0"/>
          <w:lang w:val="zh-CN"/>
        </w:rPr>
        <w:t>附件</w:t>
      </w:r>
      <w:r>
        <w:rPr>
          <w:b w:val="0"/>
          <w:lang w:val="zh-CN"/>
        </w:rPr>
        <w:t xml:space="preserve">3-2 </w:t>
      </w:r>
      <w:r>
        <w:rPr>
          <w:rFonts w:hint="eastAsia"/>
          <w:b w:val="0"/>
          <w:lang w:val="zh-CN"/>
        </w:rPr>
        <w:t>工商营业执照、组织机构代码证、税务登记证</w:t>
      </w:r>
      <w:bookmarkEnd w:id="539"/>
      <w:bookmarkEnd w:id="540"/>
      <w:bookmarkEnd w:id="541"/>
      <w:bookmarkEnd w:id="542"/>
      <w:bookmarkEnd w:id="543"/>
      <w:bookmarkEnd w:id="552"/>
      <w:bookmarkEnd w:id="553"/>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bookmarkEnd w:id="544"/>
    <w:bookmarkEnd w:id="545"/>
    <w:bookmarkEnd w:id="546"/>
    <w:bookmarkEnd w:id="547"/>
    <w:bookmarkEnd w:id="548"/>
    <w:bookmarkEnd w:id="549"/>
    <w:bookmarkEnd w:id="550"/>
    <w:bookmarkEnd w:id="551"/>
    <w:p>
      <w:pPr>
        <w:widowControl/>
        <w:jc w:val="left"/>
        <w:rPr>
          <w:rFonts w:ascii="Arial" w:hAnsi="Arial" w:eastAsia="黑体"/>
          <w:bCs/>
          <w:sz w:val="28"/>
          <w:szCs w:val="28"/>
        </w:rPr>
      </w:pPr>
      <w:r>
        <w:rPr>
          <w:bCs/>
        </w:rPr>
        <w:br w:type="page"/>
      </w:r>
    </w:p>
    <w:p>
      <w:pPr>
        <w:pStyle w:val="6"/>
        <w:spacing w:before="120" w:beforeLines="50" w:after="120" w:afterLines="50" w:line="560" w:lineRule="exact"/>
        <w:ind w:firstLine="0" w:firstLineChars="0"/>
        <w:rPr>
          <w:b w:val="0"/>
        </w:rPr>
      </w:pPr>
      <w:bookmarkStart w:id="554" w:name="_Toc28012"/>
      <w:bookmarkStart w:id="555" w:name="_Toc4517"/>
      <w:bookmarkStart w:id="556" w:name="_Toc23567"/>
      <w:bookmarkStart w:id="557" w:name="_Toc32660"/>
      <w:bookmarkStart w:id="558" w:name="_Toc112768480"/>
      <w:bookmarkStart w:id="559" w:name="_Toc14325"/>
      <w:bookmarkStart w:id="560" w:name="_Toc20407"/>
      <w:bookmarkStart w:id="561" w:name="_Toc16005"/>
      <w:bookmarkStart w:id="562" w:name="_Toc112879356"/>
      <w:bookmarkStart w:id="563" w:name="_Toc5780"/>
      <w:bookmarkStart w:id="564" w:name="_Toc266"/>
      <w:bookmarkStart w:id="565" w:name="_Toc8886"/>
      <w:r>
        <w:rPr>
          <w:rFonts w:hint="eastAsia"/>
          <w:b w:val="0"/>
        </w:rPr>
        <w:t>附件</w:t>
      </w:r>
      <w:r>
        <w:rPr>
          <w:b w:val="0"/>
        </w:rPr>
        <w:t xml:space="preserve">3-3 </w:t>
      </w:r>
      <w:r>
        <w:rPr>
          <w:rFonts w:hint="eastAsia"/>
          <w:b w:val="0"/>
        </w:rPr>
        <w:t>法定代表人资格证明书</w:t>
      </w:r>
      <w:bookmarkEnd w:id="554"/>
      <w:bookmarkEnd w:id="555"/>
      <w:bookmarkEnd w:id="556"/>
      <w:bookmarkEnd w:id="557"/>
      <w:bookmarkEnd w:id="558"/>
      <w:bookmarkEnd w:id="559"/>
      <w:bookmarkEnd w:id="560"/>
      <w:bookmarkEnd w:id="561"/>
    </w:p>
    <w:p>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法定代表人资格证明书</w:t>
      </w:r>
    </w:p>
    <w:p>
      <w:pPr>
        <w:rPr>
          <w:rFonts w:eastAsia="楷体_GB2312"/>
          <w:bCs/>
          <w:sz w:val="28"/>
          <w:szCs w:val="28"/>
        </w:rPr>
      </w:pPr>
    </w:p>
    <w:p>
      <w:pPr>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pPr>
        <w:ind w:firstLine="560" w:firstLineChars="200"/>
        <w:rPr>
          <w:bCs/>
          <w:sz w:val="28"/>
          <w:szCs w:val="28"/>
        </w:rPr>
      </w:pPr>
    </w:p>
    <w:p>
      <w:pPr>
        <w:ind w:firstLine="560" w:firstLineChars="200"/>
        <w:rPr>
          <w:bCs/>
          <w:sz w:val="28"/>
          <w:szCs w:val="28"/>
        </w:rPr>
      </w:pPr>
      <w:r>
        <w:rPr>
          <w:rFonts w:hint="eastAsia"/>
          <w:bCs/>
          <w:sz w:val="28"/>
          <w:szCs w:val="28"/>
        </w:rPr>
        <w:t>特此证明</w:t>
      </w:r>
    </w:p>
    <w:p>
      <w:pPr>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2997835</wp:posOffset>
                </wp:positionH>
                <wp:positionV relativeFrom="paragraph">
                  <wp:posOffset>60325</wp:posOffset>
                </wp:positionV>
                <wp:extent cx="2182495" cy="1125855"/>
                <wp:effectExtent l="4445" t="4445" r="22860" b="1270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18249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6.05pt;margin-top:4.75pt;height:88.65pt;width:171.85pt;z-index:251660288;v-text-anchor:middle;mso-width-relative:page;mso-height-relative:page;" fillcolor="#FFFFFF" filled="t" stroked="t" coordsize="21600,21600" o:gfxdata="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Sp96dUAAAAJAQAADwAAAAAA&#10;AAABACAAAAAiAAAAZHJzL2Rvd25yZXYueG1sUEsBAhQAFAAAAAgAh07iQM85EIp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346075</wp:posOffset>
                </wp:positionH>
                <wp:positionV relativeFrom="paragraph">
                  <wp:posOffset>75565</wp:posOffset>
                </wp:positionV>
                <wp:extent cx="2190115" cy="1125855"/>
                <wp:effectExtent l="4445" t="4445" r="15240" b="1270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5.95pt;height:88.65pt;width:172.45pt;z-index:251659264;v-text-anchor:middle;mso-width-relative:page;mso-height-relative:page;" fillcolor="#FFFFFF" filled="t" stroked="t" coordsize="21600,21600" o:gfxdata="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TxgHtUAAAAJAQAADwAAAAAA&#10;AAABACAAAAAiAAAAZHJzL2Rvd25yZXYueG1sUEsBAhQAFAAAAAgAh07iQBDOoR1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v:textbox>
              </v:shape>
            </w:pict>
          </mc:Fallback>
        </mc:AlternateContent>
      </w:r>
    </w:p>
    <w:p>
      <w:pPr>
        <w:rPr>
          <w:bCs/>
          <w:sz w:val="28"/>
          <w:szCs w:val="28"/>
        </w:rPr>
      </w:pPr>
    </w:p>
    <w:p>
      <w:pPr>
        <w:rPr>
          <w:bCs/>
          <w:sz w:val="28"/>
          <w:szCs w:val="28"/>
        </w:rPr>
      </w:pPr>
    </w:p>
    <w:p>
      <w:pPr>
        <w:rPr>
          <w:bCs/>
          <w:sz w:val="28"/>
          <w:szCs w:val="28"/>
        </w:rPr>
      </w:pPr>
    </w:p>
    <w:p>
      <w:pPr>
        <w:rPr>
          <w:bCs/>
          <w:sz w:val="28"/>
          <w:szCs w:val="28"/>
        </w:rPr>
      </w:pPr>
    </w:p>
    <w:p>
      <w:pPr>
        <w:ind w:firstLine="420" w:firstLineChars="150"/>
        <w:rPr>
          <w:bCs/>
          <w:sz w:val="28"/>
          <w:szCs w:val="28"/>
        </w:rPr>
      </w:pPr>
    </w:p>
    <w:p>
      <w:pPr>
        <w:ind w:firstLine="420" w:firstLineChars="150"/>
        <w:rPr>
          <w:bCs/>
          <w:sz w:val="28"/>
          <w:szCs w:val="28"/>
        </w:rPr>
      </w:pPr>
    </w:p>
    <w:p>
      <w:pPr>
        <w:ind w:firstLine="420" w:firstLineChars="150"/>
        <w:rPr>
          <w:bCs/>
          <w:sz w:val="28"/>
          <w:szCs w:val="28"/>
        </w:rPr>
      </w:pPr>
      <w:r>
        <w:rPr>
          <w:rFonts w:hint="eastAsia"/>
          <w:bCs/>
          <w:sz w:val="28"/>
          <w:szCs w:val="28"/>
        </w:rPr>
        <w:t>身份证关键信息应当清晰可辨，否则视为无效报价。</w:t>
      </w:r>
    </w:p>
    <w:p>
      <w:pPr>
        <w:ind w:firstLine="4900" w:firstLineChars="1750"/>
        <w:rPr>
          <w:bCs/>
          <w:sz w:val="28"/>
          <w:szCs w:val="28"/>
        </w:rPr>
      </w:pPr>
    </w:p>
    <w:p>
      <w:pPr>
        <w:ind w:firstLine="4900" w:firstLineChars="1750"/>
        <w:rPr>
          <w:bCs/>
          <w:sz w:val="28"/>
          <w:szCs w:val="28"/>
        </w:rPr>
      </w:pPr>
    </w:p>
    <w:p>
      <w:pPr>
        <w:rPr>
          <w:bCs/>
          <w:sz w:val="28"/>
          <w:szCs w:val="28"/>
        </w:rPr>
      </w:pPr>
    </w:p>
    <w:p>
      <w:pPr>
        <w:jc w:val="center"/>
        <w:rPr>
          <w:bCs/>
          <w:sz w:val="28"/>
          <w:szCs w:val="28"/>
        </w:rPr>
      </w:pPr>
      <w:r>
        <w:rPr>
          <w:rFonts w:hint="eastAsia"/>
          <w:bCs/>
          <w:sz w:val="28"/>
          <w:szCs w:val="28"/>
        </w:rPr>
        <w:t xml:space="preserve">                   </w:t>
      </w:r>
      <w:r>
        <w:rPr>
          <w:bCs/>
          <w:sz w:val="28"/>
          <w:szCs w:val="28"/>
        </w:rPr>
        <w:t xml:space="preserve">       </w:t>
      </w:r>
      <w:r>
        <w:rPr>
          <w:rFonts w:hint="eastAsia"/>
          <w:bCs/>
          <w:sz w:val="28"/>
          <w:szCs w:val="28"/>
        </w:rPr>
        <w:t>报价供应商全称：（盖章）</w:t>
      </w:r>
    </w:p>
    <w:p>
      <w:pPr>
        <w:jc w:val="left"/>
        <w:rPr>
          <w:bCs/>
          <w:sz w:val="28"/>
          <w:szCs w:val="28"/>
        </w:rPr>
      </w:pPr>
    </w:p>
    <w:p>
      <w:pPr>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rFonts w:ascii="Arial" w:hAnsi="Arial" w:eastAsia="黑体"/>
          <w:bCs/>
          <w:sz w:val="28"/>
          <w:szCs w:val="28"/>
          <w:lang w:val="zh-CN"/>
        </w:rPr>
      </w:pPr>
      <w:r>
        <w:rPr>
          <w:bCs/>
          <w:lang w:val="zh-CN"/>
        </w:rPr>
        <w:br w:type="page"/>
      </w:r>
    </w:p>
    <w:bookmarkEnd w:id="562"/>
    <w:bookmarkEnd w:id="563"/>
    <w:bookmarkEnd w:id="564"/>
    <w:bookmarkEnd w:id="565"/>
    <w:p>
      <w:pPr>
        <w:pStyle w:val="6"/>
        <w:spacing w:before="120" w:beforeLines="50" w:after="120" w:afterLines="50" w:line="560" w:lineRule="exact"/>
        <w:ind w:firstLine="0" w:firstLineChars="0"/>
        <w:rPr>
          <w:b w:val="0"/>
        </w:rPr>
      </w:pPr>
      <w:bookmarkStart w:id="566" w:name="_Toc1880"/>
      <w:bookmarkStart w:id="567" w:name="_Toc28875"/>
      <w:bookmarkStart w:id="568" w:name="_Toc112768481"/>
      <w:bookmarkStart w:id="569" w:name="_Toc13950"/>
      <w:bookmarkStart w:id="570" w:name="_Toc31612"/>
      <w:bookmarkStart w:id="571" w:name="_Toc11179"/>
      <w:bookmarkStart w:id="572" w:name="_Toc4427"/>
      <w:bookmarkStart w:id="573" w:name="_Toc6244"/>
      <w:bookmarkStart w:id="574" w:name="_Toc28302"/>
      <w:bookmarkStart w:id="575" w:name="_Toc18779"/>
      <w:bookmarkStart w:id="576" w:name="_Toc5271"/>
      <w:bookmarkStart w:id="577" w:name="_Toc112879357"/>
      <w:r>
        <w:rPr>
          <w:rFonts w:hint="eastAsia"/>
          <w:b w:val="0"/>
        </w:rPr>
        <w:t>附件</w:t>
      </w:r>
      <w:r>
        <w:rPr>
          <w:b w:val="0"/>
        </w:rPr>
        <w:t xml:space="preserve">3-4 </w:t>
      </w:r>
      <w:r>
        <w:rPr>
          <w:rFonts w:hint="eastAsia"/>
          <w:b w:val="0"/>
        </w:rPr>
        <w:t>法定代表人授权书</w:t>
      </w:r>
      <w:bookmarkEnd w:id="566"/>
      <w:bookmarkEnd w:id="567"/>
      <w:bookmarkEnd w:id="568"/>
      <w:bookmarkEnd w:id="569"/>
      <w:bookmarkEnd w:id="570"/>
      <w:bookmarkEnd w:id="571"/>
      <w:bookmarkEnd w:id="572"/>
      <w:bookmarkEnd w:id="573"/>
    </w:p>
    <w:p>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596" w:firstLineChars="213"/>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pPr>
        <w:spacing w:line="560" w:lineRule="exact"/>
        <w:ind w:firstLine="600"/>
        <w:rPr>
          <w:rFonts w:ascii="宋体" w:hAnsi="宋体" w:cs="宋体"/>
          <w:bCs/>
          <w:sz w:val="28"/>
          <w:szCs w:val="28"/>
        </w:rPr>
      </w:pPr>
    </w:p>
    <w:p>
      <w:pPr>
        <w:spacing w:line="560" w:lineRule="exact"/>
        <w:ind w:firstLine="3640" w:firstLineChars="1300"/>
        <w:rPr>
          <w:rFonts w:ascii="宋体" w:hAnsi="宋体" w:cs="宋体"/>
          <w:bCs/>
          <w:sz w:val="28"/>
          <w:szCs w:val="28"/>
        </w:rPr>
      </w:pPr>
      <w:r>
        <w:rPr>
          <w:rFonts w:hint="eastAsia" w:ascii="宋体" w:hAnsi="宋体" w:cs="宋体"/>
          <w:bCs/>
          <w:sz w:val="28"/>
          <w:szCs w:val="28"/>
        </w:rPr>
        <w:t>报价供应商全称：（盖章）</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法定代表人：（签字）</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rPr>
          <w:rFonts w:ascii="宋体" w:hAnsi="宋体" w:cs="宋体"/>
          <w:bCs/>
          <w:sz w:val="28"/>
          <w:szCs w:val="28"/>
        </w:rPr>
      </w:pPr>
      <w:r>
        <w:rPr>
          <w:rFonts w:hint="eastAsia" w:ascii="宋体" w:hAnsi="宋体" w:cs="宋体"/>
          <w:bCs/>
          <w:sz w:val="28"/>
          <w:szCs w:val="28"/>
        </w:rPr>
        <w:t>附：</w:t>
      </w:r>
    </w:p>
    <w:p>
      <w:pPr>
        <w:spacing w:line="560" w:lineRule="exact"/>
        <w:ind w:firstLine="573"/>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391795</wp:posOffset>
                </wp:positionH>
                <wp:positionV relativeFrom="paragraph">
                  <wp:posOffset>120015</wp:posOffset>
                </wp:positionV>
                <wp:extent cx="2190115" cy="1125855"/>
                <wp:effectExtent l="4445" t="4445" r="15240" b="1270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85pt;margin-top:9.45pt;height:88.65pt;width:172.45pt;z-index:251662336;v-text-anchor:middle;mso-width-relative:page;mso-height-relative:page;" fillcolor="#FFFFFF" filled="t" stroked="t" coordsize="21600,21600" o:gfxdata="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SH0yNUAAAAJAQAADwAAAAAA&#10;AAABACAAAAAiAAAAZHJzL2Rvd25yZXYueG1sUEsBAhQAFAAAAAgAh07iQILNzyRPAgAApA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2936875</wp:posOffset>
                </wp:positionH>
                <wp:positionV relativeFrom="paragraph">
                  <wp:posOffset>120015</wp:posOffset>
                </wp:positionV>
                <wp:extent cx="2197735" cy="1125855"/>
                <wp:effectExtent l="4445" t="5080" r="7620" b="1206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19773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1.25pt;margin-top:9.45pt;height:88.65pt;width:173.05pt;z-index:251664384;v-text-anchor:middle;mso-width-relative:page;mso-height-relative:page;" fillcolor="#FFFFFF" filled="t" stroked="t" coordsize="21600,21600" o:gfxdata="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Vi0djWAAAACgEAAA8AAAAA&#10;AAAAAQAgAAAAIgAAAGRycy9kb3ducmV2LnhtbFBLAQIUABQAAAAIAIdO4kA0pcz2TwIAAKIEAAAO&#10;AAAAAAAAAAEAIAAAACUBAABkcnMvZTJvRG9jLnhtbFBLBQYAAAAABgAGAFkBAADm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p>
    <w:p>
      <w:pPr>
        <w:spacing w:line="560" w:lineRule="exact"/>
        <w:ind w:firstLine="573"/>
        <w:rPr>
          <w:rFonts w:ascii="宋体" w:hAnsi="宋体" w:cs="宋体"/>
          <w:bCs/>
          <w:sz w:val="28"/>
          <w:szCs w:val="28"/>
        </w:rPr>
      </w:pPr>
    </w:p>
    <w:p>
      <w:pPr>
        <w:spacing w:line="560" w:lineRule="exact"/>
        <w:ind w:firstLine="573"/>
        <w:rPr>
          <w:rFonts w:ascii="宋体" w:hAnsi="宋体" w:cs="宋体"/>
          <w:bCs/>
          <w:sz w:val="28"/>
          <w:szCs w:val="28"/>
        </w:rPr>
      </w:pPr>
    </w:p>
    <w:p>
      <w:pPr>
        <w:ind w:firstLine="420" w:firstLineChars="150"/>
        <w:rPr>
          <w:rFonts w:ascii="宋体" w:hAnsi="宋体" w:cs="宋体"/>
          <w:bCs/>
          <w:sz w:val="28"/>
          <w:szCs w:val="28"/>
        </w:rPr>
      </w:pPr>
    </w:p>
    <w:p>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身份证关键信息应当清晰可辨，否则视为无效报价。</w:t>
      </w:r>
    </w:p>
    <w:p>
      <w:pPr>
        <w:spacing w:line="560" w:lineRule="exact"/>
        <w:ind w:firstLine="573"/>
        <w:rPr>
          <w:rFonts w:ascii="黑体" w:hAnsi="黑体" w:eastAsia="黑体" w:cs="宋体"/>
          <w:bCs/>
          <w:sz w:val="28"/>
          <w:szCs w:val="28"/>
        </w:rPr>
      </w:pPr>
      <w:r>
        <w:rPr>
          <w:rFonts w:hint="eastAsia" w:ascii="黑体" w:hAnsi="黑体" w:eastAsia="黑体" w:cs="宋体"/>
          <w:bCs/>
          <w:sz w:val="28"/>
          <w:szCs w:val="28"/>
        </w:rPr>
        <w:t>注：授权书后应当附授权代表在报价前4个月内（不含报价当月）连续3个月由报价供应商缴纳社保证明材料。</w:t>
      </w:r>
    </w:p>
    <w:p>
      <w:pPr>
        <w:jc w:val="center"/>
        <w:rPr>
          <w:bCs/>
          <w:lang w:val="zh-CN"/>
        </w:rPr>
      </w:pPr>
    </w:p>
    <w:bookmarkEnd w:id="574"/>
    <w:bookmarkEnd w:id="575"/>
    <w:bookmarkEnd w:id="576"/>
    <w:bookmarkEnd w:id="577"/>
    <w:p>
      <w:pPr>
        <w:jc w:val="center"/>
        <w:rPr>
          <w:bCs/>
          <w:lang w:val="zh-CN"/>
        </w:rPr>
      </w:pPr>
    </w:p>
    <w:p>
      <w:pPr>
        <w:pStyle w:val="6"/>
        <w:spacing w:before="120" w:beforeLines="50" w:after="120" w:afterLines="50" w:line="560" w:lineRule="exact"/>
        <w:ind w:firstLine="0" w:firstLineChars="0"/>
        <w:rPr>
          <w:b w:val="0"/>
        </w:rPr>
      </w:pPr>
      <w:bookmarkStart w:id="578" w:name="_Toc5386"/>
      <w:bookmarkStart w:id="579" w:name="_Toc18413"/>
      <w:bookmarkStart w:id="580" w:name="_Toc28052"/>
      <w:bookmarkStart w:id="581" w:name="_Toc11690"/>
      <w:bookmarkStart w:id="582" w:name="_Toc22963"/>
      <w:bookmarkStart w:id="583" w:name="_Toc29739"/>
      <w:bookmarkStart w:id="584" w:name="_Toc112768482"/>
      <w:bookmarkStart w:id="585" w:name="_Toc12516"/>
      <w:bookmarkStart w:id="586" w:name="_Toc28423"/>
      <w:bookmarkStart w:id="587" w:name="_Toc30868"/>
      <w:bookmarkStart w:id="588" w:name="_Toc23226"/>
      <w:bookmarkStart w:id="589" w:name="_Toc112879358"/>
      <w:r>
        <w:rPr>
          <w:rFonts w:hint="eastAsia"/>
          <w:b w:val="0"/>
        </w:rPr>
        <w:t>附件</w:t>
      </w:r>
      <w:r>
        <w:rPr>
          <w:b w:val="0"/>
        </w:rPr>
        <w:t xml:space="preserve">3-5 </w:t>
      </w:r>
      <w:r>
        <w:rPr>
          <w:rFonts w:hint="eastAsia"/>
          <w:b w:val="0"/>
        </w:rPr>
        <w:t>供应商承诺声明</w:t>
      </w:r>
      <w:bookmarkEnd w:id="578"/>
      <w:bookmarkEnd w:id="579"/>
      <w:bookmarkEnd w:id="580"/>
      <w:bookmarkEnd w:id="581"/>
      <w:bookmarkEnd w:id="582"/>
      <w:bookmarkEnd w:id="583"/>
      <w:bookmarkEnd w:id="584"/>
      <w:bookmarkEnd w:id="585"/>
    </w:p>
    <w:p>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 xml:space="preserve"> 项目编号 </w:t>
      </w:r>
      <w:r>
        <w:rPr>
          <w:rFonts w:hint="eastAsia"/>
          <w:bCs/>
          <w:sz w:val="28"/>
          <w:szCs w:val="28"/>
        </w:rPr>
        <w:t>）采购活动</w:t>
      </w:r>
      <w:r>
        <w:rPr>
          <w:rFonts w:hint="eastAsia" w:ascii="宋体" w:hAnsi="宋体"/>
          <w:bCs/>
          <w:sz w:val="28"/>
          <w:szCs w:val="28"/>
        </w:rPr>
        <w:t>，承诺声明如下：</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一、供应商诚信承诺</w:t>
      </w:r>
    </w:p>
    <w:p>
      <w:pPr>
        <w:tabs>
          <w:tab w:val="left" w:pos="771"/>
        </w:tabs>
        <w:spacing w:line="560" w:lineRule="exact"/>
        <w:ind w:firstLine="570"/>
        <w:rPr>
          <w:rFonts w:asciiTheme="minorEastAsia" w:hAnsiTheme="minorEastAsia" w:eastAsiaTheme="minorEastAsia"/>
          <w:bCs/>
          <w:sz w:val="28"/>
          <w:szCs w:val="28"/>
        </w:rPr>
      </w:pPr>
      <w:r>
        <w:rPr>
          <w:rFonts w:asciiTheme="minorEastAsia" w:hAnsiTheme="minorEastAsia" w:eastAsiaTheme="minorEastAsia"/>
          <w:bCs/>
          <w:sz w:val="28"/>
          <w:szCs w:val="28"/>
        </w:rPr>
        <w:t>1.如实编写</w:t>
      </w:r>
      <w:r>
        <w:rPr>
          <w:rFonts w:hint="eastAsia" w:asciiTheme="minorEastAsia" w:hAnsiTheme="minorEastAsia" w:eastAsiaTheme="minorEastAsia"/>
          <w:bCs/>
          <w:sz w:val="28"/>
          <w:szCs w:val="28"/>
        </w:rPr>
        <w:t>报价文件，对报价文件中提供的文件材料、图片影像、财务数据、资产情况及相应证明等材料的真实性、完整性、准确性，承担相应的法律责任。</w:t>
      </w:r>
    </w:p>
    <w:p>
      <w:pPr>
        <w:widowControl/>
        <w:spacing w:line="560" w:lineRule="exact"/>
        <w:ind w:firstLine="560" w:firstLineChars="200"/>
        <w:rPr>
          <w:rFonts w:asciiTheme="minorEastAsia" w:hAnsiTheme="minorEastAsia" w:eastAsiaTheme="minorEastAsia"/>
          <w:bCs/>
          <w:sz w:val="28"/>
          <w:szCs w:val="28"/>
          <w:lang w:val="zh-CN"/>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因单位转制、兼并、股改等特殊情况，无法提供原始材料、财务数据、资产情况等，造成单位信息难以确认时，自愿放弃参加军队采购活动。</w:t>
      </w:r>
    </w:p>
    <w:p>
      <w:pPr>
        <w:tabs>
          <w:tab w:val="left" w:pos="771"/>
        </w:tabs>
        <w:spacing w:line="560" w:lineRule="exact"/>
        <w:ind w:firstLine="570"/>
        <w:rPr>
          <w:rFonts w:ascii="宋体" w:hAnsi="宋体"/>
          <w:bCs/>
          <w:sz w:val="28"/>
          <w:szCs w:val="28"/>
        </w:rPr>
      </w:pP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rPr>
        <w:t>在提供报价</w:t>
      </w:r>
      <w:r>
        <w:rPr>
          <w:rFonts w:hint="eastAsia" w:ascii="宋体" w:hAnsi="宋体"/>
          <w:bCs/>
          <w:sz w:val="28"/>
          <w:szCs w:val="28"/>
        </w:rPr>
        <w:t>文件或现场核查时，如存在伪造文件材料，提供虚假图片影像、业绩合同、材料数据等，造假或篡改相关数据及资产等情况，自愿放弃成交资格并无条件接受相应处罚。</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二、保密承诺</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4.询价文件以及相关技术文件专室放置、专盘存储、专人管理。</w:t>
      </w:r>
    </w:p>
    <w:p>
      <w:pPr>
        <w:tabs>
          <w:tab w:val="left" w:pos="771"/>
        </w:tabs>
        <w:spacing w:line="560" w:lineRule="exact"/>
        <w:ind w:firstLine="57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三、诚信责任保证金承诺</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严格遵守</w:t>
      </w:r>
      <w:r>
        <w:rPr>
          <w:rFonts w:hint="eastAsia" w:cs="宋体"/>
          <w:bCs/>
          <w:sz w:val="28"/>
          <w:szCs w:val="28"/>
          <w:lang w:bidi="ar"/>
        </w:rPr>
        <w:t>《供应商诚信承诺》</w:t>
      </w:r>
      <w:r>
        <w:rPr>
          <w:rFonts w:hint="eastAsia" w:ascii="宋体" w:hAnsi="宋体" w:cs="宋体"/>
          <w:bCs/>
          <w:sz w:val="28"/>
          <w:szCs w:val="28"/>
          <w:lang w:bidi="ar"/>
        </w:rPr>
        <w:t>，若受到</w:t>
      </w:r>
      <w:r>
        <w:rPr>
          <w:rFonts w:ascii="宋体" w:hAnsi="宋体" w:cs="宋体"/>
          <w:bCs/>
          <w:sz w:val="28"/>
          <w:szCs w:val="28"/>
          <w:lang w:bidi="ar"/>
        </w:rPr>
        <w:t>1年、2年、3年禁止参加军队采购活动处理的，同意缴纳本项目采购预算金额1%、1.5%、2%的诚信责任保证金（按照四舍五入原则，取整到千元），最低额度为10万元，最高额度为200万元。</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lang w:bidi="ar"/>
        </w:rPr>
        <w:t>若经查实采取串通询价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pPr>
        <w:widowControl/>
        <w:spacing w:line="560" w:lineRule="exact"/>
        <w:ind w:firstLine="560" w:firstLineChars="200"/>
        <w:rPr>
          <w:rFonts w:ascii="宋体" w:hAnsi="宋体"/>
          <w:bCs/>
          <w:sz w:val="28"/>
          <w:szCs w:val="28"/>
          <w:lang w:val="zh-CN"/>
        </w:rPr>
      </w:pPr>
      <w:r>
        <w:rPr>
          <w:rFonts w:ascii="宋体" w:hAnsi="宋体" w:cs="宋体"/>
          <w:bCs/>
          <w:sz w:val="28"/>
          <w:szCs w:val="28"/>
          <w:lang w:bidi="ar"/>
        </w:rPr>
        <w:t>4.给部队造成损失的，同意按照国家法律和合同约定，予以相应经济赔偿。</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四、未被列入违法失信名单承诺</w:t>
      </w:r>
    </w:p>
    <w:p>
      <w:pPr>
        <w:tabs>
          <w:tab w:val="left" w:pos="771"/>
        </w:tabs>
        <w:spacing w:line="560" w:lineRule="exact"/>
        <w:ind w:firstLine="57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pPr>
        <w:tabs>
          <w:tab w:val="left" w:pos="771"/>
        </w:tabs>
        <w:spacing w:line="560" w:lineRule="exact"/>
        <w:ind w:firstLine="57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pPr>
        <w:tabs>
          <w:tab w:val="left" w:pos="771"/>
        </w:tabs>
        <w:spacing w:line="560" w:lineRule="exact"/>
        <w:ind w:firstLine="570"/>
        <w:rPr>
          <w:rFonts w:ascii="宋体" w:hAnsi="宋体"/>
          <w:bCs/>
          <w:sz w:val="28"/>
          <w:szCs w:val="28"/>
        </w:rPr>
      </w:pPr>
      <w:r>
        <w:rPr>
          <w:rFonts w:hint="eastAsia"/>
          <w:bCs/>
          <w:sz w:val="28"/>
          <w:szCs w:val="28"/>
        </w:rPr>
        <w:t>我单位在参加本次采购活动</w:t>
      </w:r>
      <w:r>
        <w:rPr>
          <w:rFonts w:hint="eastAsia" w:ascii="宋体" w:hAnsi="宋体"/>
          <w:bCs/>
          <w:sz w:val="28"/>
          <w:szCs w:val="28"/>
        </w:rPr>
        <w:t>前</w:t>
      </w:r>
      <w:r>
        <w:rPr>
          <w:rFonts w:ascii="宋体" w:hAnsi="宋体"/>
          <w:bCs/>
          <w:sz w:val="28"/>
          <w:szCs w:val="28"/>
        </w:rPr>
        <w:t>3</w:t>
      </w:r>
      <w:r>
        <w:rPr>
          <w:rFonts w:hint="eastAsia" w:ascii="宋体" w:hAnsi="宋体"/>
          <w:bCs/>
          <w:sz w:val="28"/>
          <w:szCs w:val="28"/>
        </w:rPr>
        <w:t>年</w:t>
      </w:r>
      <w:r>
        <w:rPr>
          <w:rFonts w:hint="eastAsia"/>
          <w:bCs/>
          <w:sz w:val="28"/>
          <w:szCs w:val="28"/>
        </w:rPr>
        <w:t>内</w:t>
      </w:r>
      <w:r>
        <w:rPr>
          <w:rFonts w:hint="eastAsia" w:ascii="宋体" w:hAnsi="宋体" w:cs="宋体"/>
          <w:bCs/>
          <w:sz w:val="28"/>
          <w:szCs w:val="28"/>
        </w:rPr>
        <w:t>在经营活动中</w:t>
      </w:r>
      <w:r>
        <w:rPr>
          <w:rFonts w:hint="eastAsia"/>
          <w:bCs/>
          <w:sz w:val="28"/>
          <w:szCs w:val="28"/>
        </w:rPr>
        <w:t>没有重大违法记录。</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七、没有发生过重大质量安全事故的书面声明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八、非外资独资企业或控股企业的书面声明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我单位为非外资独资企业或控股企业。</w:t>
      </w:r>
    </w:p>
    <w:p>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pPr>
        <w:spacing w:line="560" w:lineRule="exact"/>
        <w:ind w:firstLine="560" w:firstLineChars="200"/>
        <w:rPr>
          <w:sz w:val="28"/>
          <w:szCs w:val="28"/>
        </w:rPr>
      </w:pPr>
      <w:r>
        <w:rPr>
          <w:rFonts w:hint="eastAsia"/>
          <w:sz w:val="28"/>
          <w:szCs w:val="28"/>
        </w:rPr>
        <w:t>我单位具有履行合同所必需的设备和专业技术能力。</w:t>
      </w:r>
    </w:p>
    <w:p>
      <w:pPr>
        <w:autoSpaceDE w:val="0"/>
        <w:autoSpaceDN w:val="0"/>
        <w:adjustRightInd w:val="0"/>
        <w:spacing w:line="560" w:lineRule="exact"/>
        <w:ind w:firstLine="560" w:firstLineChars="200"/>
        <w:rPr>
          <w:bCs/>
          <w:sz w:val="28"/>
          <w:szCs w:val="28"/>
        </w:rPr>
      </w:pPr>
    </w:p>
    <w:p>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pPr>
        <w:widowControl/>
        <w:spacing w:line="560" w:lineRule="exact"/>
        <w:rPr>
          <w:bCs/>
          <w:sz w:val="28"/>
          <w:szCs w:val="28"/>
          <w:lang w:val="zh-CN"/>
        </w:rPr>
      </w:pPr>
    </w:p>
    <w:p>
      <w:pPr>
        <w:widowControl/>
        <w:spacing w:line="560" w:lineRule="exact"/>
        <w:rPr>
          <w:bCs/>
          <w:sz w:val="28"/>
          <w:szCs w:val="28"/>
          <w:lang w:val="zh-CN"/>
        </w:rPr>
      </w:pP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rPr>
          <w:rFonts w:hint="eastAsia"/>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spacing w:line="560" w:lineRule="exact"/>
        <w:rPr>
          <w:bCs/>
          <w:lang w:val="zh-CN"/>
        </w:rPr>
      </w:pPr>
      <w:r>
        <w:rPr>
          <w:lang w:val="zh-CN"/>
        </w:rPr>
        <w:br w:type="page"/>
      </w:r>
      <w:bookmarkEnd w:id="586"/>
      <w:bookmarkEnd w:id="587"/>
      <w:bookmarkEnd w:id="588"/>
      <w:bookmarkEnd w:id="589"/>
      <w:bookmarkStart w:id="590" w:name="_Toc2798"/>
      <w:bookmarkStart w:id="591" w:name="_Toc112879359"/>
      <w:bookmarkStart w:id="592" w:name="_Toc14116"/>
      <w:bookmarkStart w:id="593" w:name="_Toc9098"/>
    </w:p>
    <w:bookmarkEnd w:id="590"/>
    <w:bookmarkEnd w:id="591"/>
    <w:bookmarkEnd w:id="592"/>
    <w:bookmarkEnd w:id="593"/>
    <w:p>
      <w:pPr>
        <w:pStyle w:val="6"/>
        <w:spacing w:before="120" w:beforeLines="50" w:after="120" w:afterLines="50" w:line="560" w:lineRule="exact"/>
        <w:ind w:firstLine="0" w:firstLineChars="0"/>
        <w:rPr>
          <w:b w:val="0"/>
          <w:lang w:val="zh-CN"/>
        </w:rPr>
      </w:pPr>
      <w:bookmarkStart w:id="594" w:name="_Toc14500"/>
      <w:bookmarkStart w:id="595" w:name="_Toc14350"/>
      <w:bookmarkStart w:id="596" w:name="_Toc27600"/>
      <w:bookmarkStart w:id="597" w:name="_Toc20414"/>
      <w:bookmarkStart w:id="598" w:name="_Toc112879360"/>
      <w:bookmarkStart w:id="599" w:name="_Toc21617"/>
      <w:bookmarkStart w:id="600" w:name="_Toc9264"/>
      <w:r>
        <w:rPr>
          <w:rFonts w:hint="eastAsia"/>
          <w:b w:val="0"/>
          <w:lang w:val="zh-CN"/>
        </w:rPr>
        <w:t>附件3-</w:t>
      </w:r>
      <w:r>
        <w:rPr>
          <w:b w:val="0"/>
          <w:lang w:val="zh-CN"/>
        </w:rPr>
        <w:t>6</w:t>
      </w:r>
      <w:r>
        <w:rPr>
          <w:rFonts w:hint="eastAsia"/>
          <w:b w:val="0"/>
          <w:lang w:val="zh-CN"/>
        </w:rPr>
        <w:t xml:space="preserve"> 纳税证明材料</w:t>
      </w:r>
      <w:bookmarkEnd w:id="594"/>
      <w:bookmarkEnd w:id="595"/>
      <w:bookmarkEnd w:id="596"/>
      <w:bookmarkEnd w:id="597"/>
      <w:bookmarkEnd w:id="598"/>
      <w:bookmarkEnd w:id="599"/>
      <w:bookmarkEnd w:id="600"/>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pPr>
        <w:spacing w:before="120" w:beforeLines="50" w:after="120" w:afterLines="50" w:line="560" w:lineRule="exact"/>
        <w:jc w:val="center"/>
        <w:rPr>
          <w:rFonts w:ascii="黑体" w:hAnsi="黑体" w:eastAsia="黑体" w:cs="黑体"/>
          <w:bCs/>
          <w:sz w:val="36"/>
          <w:szCs w:val="36"/>
          <w:lang w:val="zh-CN"/>
        </w:rPr>
      </w:pPr>
      <w:r>
        <w:rPr>
          <w:bCs/>
          <w:lang w:val="zh-CN"/>
        </w:rPr>
        <w:br w:type="page"/>
      </w:r>
    </w:p>
    <w:p>
      <w:pPr>
        <w:pStyle w:val="6"/>
        <w:spacing w:before="120" w:beforeLines="50" w:after="120" w:afterLines="50" w:line="560" w:lineRule="exact"/>
        <w:ind w:firstLine="0" w:firstLineChars="0"/>
        <w:rPr>
          <w:b w:val="0"/>
          <w:lang w:val="zh-CN"/>
        </w:rPr>
      </w:pPr>
      <w:bookmarkStart w:id="601" w:name="_Toc2712"/>
      <w:bookmarkStart w:id="602" w:name="_Toc15691"/>
      <w:bookmarkStart w:id="603" w:name="_Toc112768485"/>
      <w:bookmarkStart w:id="604" w:name="_Toc18003"/>
      <w:bookmarkStart w:id="605" w:name="_Toc6442"/>
      <w:bookmarkStart w:id="606" w:name="_Toc7401"/>
      <w:bookmarkStart w:id="607" w:name="_Toc24756"/>
      <w:bookmarkStart w:id="608" w:name="_Toc13537"/>
      <w:bookmarkStart w:id="609" w:name="_Toc18281"/>
      <w:bookmarkStart w:id="610" w:name="_Toc112879361"/>
      <w:bookmarkStart w:id="611" w:name="_Toc2761"/>
      <w:bookmarkStart w:id="612" w:name="_Toc14823"/>
      <w:r>
        <w:rPr>
          <w:rFonts w:hint="eastAsia"/>
          <w:b w:val="0"/>
          <w:lang w:val="zh-CN"/>
        </w:rPr>
        <w:t>附件3-</w:t>
      </w:r>
      <w:r>
        <w:rPr>
          <w:b w:val="0"/>
        </w:rPr>
        <w:t>7</w:t>
      </w:r>
      <w:r>
        <w:rPr>
          <w:rFonts w:hint="eastAsia"/>
          <w:b w:val="0"/>
          <w:lang w:val="zh-CN"/>
        </w:rPr>
        <w:t xml:space="preserve"> 缴纳社会保障金证明材料</w:t>
      </w:r>
      <w:bookmarkEnd w:id="601"/>
      <w:bookmarkEnd w:id="602"/>
      <w:bookmarkEnd w:id="603"/>
      <w:bookmarkEnd w:id="604"/>
      <w:bookmarkEnd w:id="605"/>
      <w:bookmarkEnd w:id="606"/>
      <w:bookmarkEnd w:id="607"/>
      <w:bookmarkEnd w:id="608"/>
    </w:p>
    <w:p>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缴纳社会保障金证明材料</w:t>
      </w:r>
    </w:p>
    <w:bookmarkEnd w:id="609"/>
    <w:bookmarkEnd w:id="610"/>
    <w:bookmarkEnd w:id="611"/>
    <w:bookmarkEnd w:id="612"/>
    <w:p>
      <w:pPr>
        <w:widowControl/>
        <w:jc w:val="left"/>
        <w:rPr>
          <w:bCs/>
          <w:lang w:val="zh-CN"/>
        </w:rPr>
      </w:pPr>
      <w:bookmarkStart w:id="613" w:name="_Toc26289"/>
      <w:bookmarkStart w:id="614" w:name="_Toc24188"/>
      <w:bookmarkStart w:id="615" w:name="_Toc16625"/>
      <w:bookmarkStart w:id="616" w:name="_Toc112768486"/>
      <w:bookmarkStart w:id="617" w:name="_Toc3347"/>
      <w:bookmarkStart w:id="618" w:name="_Toc5092"/>
      <w:bookmarkStart w:id="619" w:name="_Toc112879362"/>
      <w:bookmarkStart w:id="620" w:name="_Toc30426"/>
      <w:bookmarkStart w:id="621" w:name="_Toc4678"/>
      <w:bookmarkStart w:id="622" w:name="_Toc2354"/>
      <w:bookmarkStart w:id="623" w:name="_Toc23091"/>
      <w:bookmarkStart w:id="624" w:name="_Toc24320"/>
    </w:p>
    <w:p>
      <w:pPr>
        <w:widowControl/>
        <w:jc w:val="left"/>
        <w:rPr>
          <w:bCs/>
          <w:lang w:val="zh-CN"/>
        </w:rPr>
      </w:pPr>
    </w:p>
    <w:p>
      <w:pPr>
        <w:widowControl/>
        <w:jc w:val="left"/>
        <w:rPr>
          <w:rFonts w:ascii="Arial" w:hAnsi="Arial" w:eastAsia="黑体"/>
          <w:bCs/>
          <w:sz w:val="28"/>
          <w:szCs w:val="28"/>
          <w:lang w:val="zh-CN"/>
        </w:rPr>
      </w:pPr>
      <w:r>
        <w:rPr>
          <w:bCs/>
          <w:lang w:val="zh-CN"/>
        </w:rPr>
        <w:br w:type="page"/>
      </w:r>
    </w:p>
    <w:bookmarkEnd w:id="613"/>
    <w:bookmarkEnd w:id="614"/>
    <w:bookmarkEnd w:id="615"/>
    <w:bookmarkEnd w:id="616"/>
    <w:bookmarkEnd w:id="617"/>
    <w:bookmarkEnd w:id="618"/>
    <w:bookmarkEnd w:id="619"/>
    <w:bookmarkEnd w:id="620"/>
    <w:bookmarkEnd w:id="621"/>
    <w:bookmarkEnd w:id="622"/>
    <w:bookmarkEnd w:id="623"/>
    <w:bookmarkEnd w:id="624"/>
    <w:p>
      <w:pPr>
        <w:pStyle w:val="6"/>
        <w:spacing w:before="120" w:beforeLines="50" w:after="120" w:afterLines="50" w:line="560" w:lineRule="exact"/>
        <w:ind w:firstLine="0" w:firstLineChars="0"/>
        <w:rPr>
          <w:rFonts w:ascii="黑体" w:hAnsi="黑体" w:cs="黑体"/>
          <w:b w:val="0"/>
          <w:lang w:val="zh-CN"/>
        </w:rPr>
      </w:pPr>
      <w:bookmarkStart w:id="625" w:name="_Toc19547"/>
      <w:bookmarkStart w:id="626" w:name="_Toc28436"/>
      <w:r>
        <w:rPr>
          <w:rFonts w:hint="eastAsia" w:ascii="黑体" w:hAnsi="黑体" w:cs="黑体"/>
          <w:b w:val="0"/>
        </w:rPr>
        <w:t>※</w:t>
      </w:r>
      <w:r>
        <w:rPr>
          <w:rFonts w:hint="eastAsia" w:ascii="黑体" w:hAnsi="黑体" w:cs="黑体"/>
          <w:b w:val="0"/>
          <w:lang w:val="zh-CN"/>
        </w:rPr>
        <w:t>附件3-</w:t>
      </w:r>
      <w:r>
        <w:rPr>
          <w:rFonts w:hint="eastAsia" w:ascii="黑体" w:hAnsi="黑体" w:cs="黑体"/>
          <w:b w:val="0"/>
          <w:lang w:val="en-US" w:eastAsia="zh-CN"/>
        </w:rPr>
        <w:t>8</w:t>
      </w:r>
      <w:r>
        <w:rPr>
          <w:rFonts w:hint="eastAsia" w:ascii="黑体" w:hAnsi="黑体" w:cs="黑体"/>
          <w:b w:val="0"/>
          <w:lang w:val="zh-CN"/>
        </w:rPr>
        <w:t xml:space="preserve"> </w:t>
      </w:r>
      <w:r>
        <w:rPr>
          <w:rFonts w:hint="eastAsia" w:ascii="黑体" w:hAnsi="黑体" w:cs="黑体"/>
          <w:b w:val="0"/>
        </w:rPr>
        <w:t>其他资料</w:t>
      </w:r>
      <w:bookmarkEnd w:id="625"/>
      <w:bookmarkEnd w:id="626"/>
    </w:p>
    <w:p>
      <w:pPr>
        <w:jc w:val="center"/>
        <w:rPr>
          <w:rFonts w:ascii="黑体" w:hAnsi="黑体" w:eastAsia="黑体" w:cs="黑体"/>
          <w:sz w:val="36"/>
          <w:szCs w:val="36"/>
        </w:rPr>
      </w:pPr>
      <w:r>
        <w:rPr>
          <w:rFonts w:hint="eastAsia" w:ascii="黑体" w:hAnsi="黑体" w:eastAsia="黑体" w:cs="黑体"/>
          <w:sz w:val="36"/>
          <w:szCs w:val="36"/>
        </w:rPr>
        <w:t>其他资料</w:t>
      </w:r>
    </w:p>
    <w:p>
      <w:pPr>
        <w:spacing w:before="120" w:beforeLines="50" w:line="360" w:lineRule="auto"/>
        <w:jc w:val="center"/>
        <w:rPr>
          <w:sz w:val="28"/>
          <w:szCs w:val="28"/>
        </w:rPr>
      </w:pPr>
      <w:r>
        <w:rPr>
          <w:rFonts w:hint="eastAsia"/>
          <w:sz w:val="28"/>
          <w:szCs w:val="28"/>
        </w:rPr>
        <w:t>（报价供应商根据询价文件规定的资格要求，自行添加其他资料）</w:t>
      </w:r>
    </w:p>
    <w:p>
      <w:pPr>
        <w:pStyle w:val="2"/>
      </w:pPr>
    </w:p>
    <w:p/>
    <w:p>
      <w:pPr>
        <w:pStyle w:val="2"/>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ascii="楷体_GB2312" w:eastAsia="楷体_GB2312"/>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6" o:spid="_x0000_s2050"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5" o:spid="_x0000_s2049"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numPr>
        <w:ilvl w:val="0"/>
        <w:numId w:val="0"/>
      </w:numPr>
      <w:pBdr>
        <w:bottom w:val="none" w:color="auto" w:sz="0" w:space="1"/>
      </w:pBdr>
      <w:jc w:val="both"/>
      <w:rPr>
        <w:rFonts w:ascii="楷体_GB2312" w:hAnsi="华文中宋" w:eastAsia="楷体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557C6"/>
    <w:multiLevelType w:val="singleLevel"/>
    <w:tmpl w:val="E19557C6"/>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DFmMWMwNzUzOGI4YTgyMTA5OTc1MDIwNmEzZjEifQ=="/>
    <w:docVar w:name="KSO_WPS_MARK_KEY" w:val="d73f65c1-85f8-4656-8091-36cf8eff17c2"/>
  </w:docVars>
  <w:rsids>
    <w:rsidRoot w:val="00000000"/>
    <w:rsid w:val="030E5CC5"/>
    <w:rsid w:val="085B280D"/>
    <w:rsid w:val="0BA17650"/>
    <w:rsid w:val="1DB46B50"/>
    <w:rsid w:val="1F052BBD"/>
    <w:rsid w:val="2415567A"/>
    <w:rsid w:val="245238AD"/>
    <w:rsid w:val="25561E9F"/>
    <w:rsid w:val="279C229C"/>
    <w:rsid w:val="2E5C7C63"/>
    <w:rsid w:val="35D25EC3"/>
    <w:rsid w:val="383C3143"/>
    <w:rsid w:val="4D3542BC"/>
    <w:rsid w:val="4E957920"/>
    <w:rsid w:val="4FD70075"/>
    <w:rsid w:val="516B40DD"/>
    <w:rsid w:val="52770161"/>
    <w:rsid w:val="52B51B8A"/>
    <w:rsid w:val="548F4BCF"/>
    <w:rsid w:val="640600B1"/>
    <w:rsid w:val="68527301"/>
    <w:rsid w:val="6F24786F"/>
    <w:rsid w:val="7A510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4">
    <w:name w:val="heading 2"/>
    <w:basedOn w:val="1"/>
    <w:next w:val="1"/>
    <w:qFormat/>
    <w:uiPriority w:val="0"/>
    <w:pPr>
      <w:keepNext/>
      <w:keepLines/>
      <w:spacing w:line="360" w:lineRule="auto"/>
      <w:outlineLvl w:val="1"/>
    </w:pPr>
    <w:rPr>
      <w:rFonts w:ascii="Arial" w:hAnsi="Arial" w:eastAsia="方正小标宋简体"/>
      <w:b/>
      <w:bCs/>
      <w:sz w:val="44"/>
      <w:szCs w:val="32"/>
    </w:rPr>
  </w:style>
  <w:style w:type="paragraph" w:styleId="5">
    <w:name w:val="heading 3"/>
    <w:basedOn w:val="1"/>
    <w:next w:val="1"/>
    <w:qFormat/>
    <w:uiPriority w:val="0"/>
    <w:pPr>
      <w:keepNext/>
      <w:keepLines/>
      <w:spacing w:before="260" w:after="260" w:line="416" w:lineRule="auto"/>
      <w:outlineLvl w:val="2"/>
    </w:pPr>
    <w:rPr>
      <w:rFonts w:eastAsia="黑体"/>
      <w:b/>
      <w:bCs/>
      <w:sz w:val="32"/>
      <w:szCs w:val="32"/>
    </w:rPr>
  </w:style>
  <w:style w:type="paragraph" w:styleId="6">
    <w:name w:val="heading 4"/>
    <w:basedOn w:val="1"/>
    <w:next w:val="1"/>
    <w:qFormat/>
    <w:uiPriority w:val="0"/>
    <w:pPr>
      <w:keepNext/>
      <w:keepLines/>
      <w:spacing w:before="280" w:after="290" w:line="377" w:lineRule="auto"/>
      <w:ind w:firstLine="200" w:firstLineChars="200"/>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99"/>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360" w:lineRule="auto"/>
      <w:ind w:firstLine="0" w:firstLineChars="0"/>
    </w:pPr>
    <w:rPr>
      <w:rFonts w:eastAsia="方正小标宋简体"/>
      <w:sz w:val="32"/>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qFormat/>
    <w:uiPriority w:val="99"/>
    <w:rPr>
      <w:color w:val="136EC2"/>
      <w:u w:val="single"/>
    </w:rPr>
  </w:style>
  <w:style w:type="character" w:styleId="17">
    <w:name w:val="annotation reference"/>
    <w:qFormat/>
    <w:uiPriority w:val="0"/>
    <w:rPr>
      <w:sz w:val="21"/>
      <w:szCs w:val="21"/>
    </w:rPr>
  </w:style>
  <w:style w:type="paragraph" w:customStyle="1" w:styleId="18">
    <w:name w:val="无缩进15"/>
    <w:basedOn w:val="1"/>
    <w:next w:val="1"/>
    <w:qFormat/>
    <w:uiPriority w:val="0"/>
    <w:pPr>
      <w:spacing w:line="300" w:lineRule="exact"/>
    </w:pPr>
  </w:style>
  <w:style w:type="paragraph" w:customStyle="1" w:styleId="19">
    <w:name w:val="表头-黑"/>
    <w:basedOn w:val="1"/>
    <w:qFormat/>
    <w:uiPriority w:val="0"/>
    <w:pPr>
      <w:spacing w:line="360" w:lineRule="exact"/>
      <w:ind w:firstLine="0" w:firstLineChars="0"/>
      <w:jc w:val="center"/>
    </w:pPr>
    <w:rPr>
      <w:rFonts w:hint="eastAsia" w:ascii="黑体" w:hAnsi="黑体" w:eastAsia="黑体" w:cs="仿宋_GB2312"/>
      <w:sz w:val="28"/>
      <w:szCs w:val="28"/>
    </w:rPr>
  </w:style>
  <w:style w:type="paragraph" w:customStyle="1" w:styleId="20">
    <w:name w:val="表内-宋"/>
    <w:basedOn w:val="1"/>
    <w:qFormat/>
    <w:uiPriority w:val="0"/>
    <w:pPr>
      <w:spacing w:line="360" w:lineRule="exact"/>
      <w:ind w:firstLine="0" w:firstLineChars="0"/>
      <w:jc w:val="left"/>
    </w:pPr>
    <w:rPr>
      <w:rFonts w:hint="eastAsia" w:ascii="宋体" w:hAnsi="宋体" w:cs="仿宋_GB2312"/>
      <w:sz w:val="24"/>
      <w:szCs w:val="24"/>
    </w:rPr>
  </w:style>
  <w:style w:type="paragraph" w:customStyle="1" w:styleId="21">
    <w:name w:val="副标题-正"/>
    <w:basedOn w:val="1"/>
    <w:next w:val="1"/>
    <w:qFormat/>
    <w:uiPriority w:val="0"/>
    <w:pPr>
      <w:spacing w:before="100" w:beforeLines="100"/>
      <w:ind w:firstLine="0" w:firstLineChars="0"/>
      <w:jc w:val="center"/>
    </w:pPr>
    <w:rPr>
      <w:rFonts w:eastAsia="方正小标宋简体"/>
      <w:sz w:val="44"/>
      <w:szCs w:val="44"/>
    </w:rPr>
  </w:style>
  <w:style w:type="paragraph" w:customStyle="1" w:styleId="22">
    <w:name w:val="_Style 14"/>
    <w:basedOn w:val="1"/>
    <w:next w:val="23"/>
    <w:qFormat/>
    <w:uiPriority w:val="34"/>
    <w:pPr>
      <w:ind w:firstLine="420" w:firstLineChars="200"/>
    </w:pPr>
    <w:rPr>
      <w:rFonts w:ascii="等线" w:hAnsi="等线" w:eastAsia="等线" w:cs="Times New Roman"/>
      <w:kern w:val="2"/>
      <w:szCs w:val="22"/>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22077</Words>
  <Characters>23092</Characters>
  <Lines>0</Lines>
  <Paragraphs>0</Paragraphs>
  <TotalTime>3</TotalTime>
  <ScaleCrop>false</ScaleCrop>
  <LinksUpToDate>false</LinksUpToDate>
  <CharactersWithSpaces>25550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2024-03-19T06:46:00Z</dcterms:created>
  <dc:creator>Administrator</dc:creator>
  <cp:lastModifiedBy>哼</cp:lastModifiedBy>
  <dcterms:modified xsi:type="dcterms:W3CDTF">2024-03-29T08:51:23Z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61BEEC19654E40F5A3AF9F7FD3DE0331</vt:lpwstr>
  </property>
</Properties>
</file>