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方正小标宋简体"/>
          <w:sz w:val="84"/>
          <w:szCs w:val="84"/>
        </w:rPr>
        <w:t>询 价 文 件</w:t>
      </w:r>
    </w:p>
    <w:p>
      <w:pPr>
        <w:snapToGrid w:val="0"/>
        <w:jc w:val="center"/>
        <w:outlineLvl w:val="0"/>
        <w:rPr>
          <w:rFonts w:eastAsia="方正大标宋简体"/>
          <w:sz w:val="44"/>
          <w:szCs w:val="44"/>
        </w:rPr>
      </w:pPr>
      <w:r>
        <w:rPr>
          <w:rFonts w:hint="eastAsia" w:eastAsia="方正大标宋简体"/>
          <w:sz w:val="44"/>
          <w:szCs w:val="44"/>
        </w:rPr>
        <w:t>（20万元（不含）以下）</w:t>
      </w: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left="1400" w:leftChars="500"/>
        <w:outlineLvl w:val="0"/>
        <w:rPr>
          <w:rFonts w:eastAsia="方正大标宋简体"/>
          <w:sz w:val="96"/>
          <w:szCs w:val="130"/>
        </w:rPr>
      </w:pPr>
      <w:r>
        <w:rPr>
          <w:rFonts w:hint="eastAsia" w:eastAsia="方正小标宋简体"/>
          <w:sz w:val="44"/>
          <w:szCs w:val="44"/>
        </w:rPr>
        <w:t>项目名称：</w:t>
      </w:r>
      <w:r>
        <w:rPr>
          <w:rFonts w:hint="eastAsia" w:eastAsia="方正小标宋简体"/>
          <w:sz w:val="44"/>
          <w:szCs w:val="44"/>
          <w:u w:val="single"/>
        </w:rPr>
        <w:t xml:space="preserve"> </w:t>
      </w:r>
      <w:r>
        <w:rPr>
          <w:rFonts w:hint="eastAsia" w:eastAsia="方正小标宋简体"/>
          <w:sz w:val="44"/>
          <w:szCs w:val="44"/>
          <w:u w:val="single"/>
          <w:lang w:val="en-US" w:eastAsia="zh-CN"/>
        </w:rPr>
        <w:t>六自由度动感汽车驾驶模拟器</w:t>
      </w:r>
      <w:r>
        <w:rPr>
          <w:rFonts w:hint="eastAsia" w:eastAsia="方正小标宋简体"/>
          <w:sz w:val="44"/>
          <w:szCs w:val="44"/>
          <w:u w:val="single"/>
        </w:rPr>
        <w:t xml:space="preserve">采购项目  </w:t>
      </w:r>
    </w:p>
    <w:p>
      <w:pPr>
        <w:pStyle w:val="9"/>
        <w:snapToGrid w:val="0"/>
        <w:spacing w:line="240" w:lineRule="auto"/>
        <w:ind w:leftChars="343" w:firstLine="1540" w:firstLineChars="350"/>
        <w:outlineLvl w:val="0"/>
        <w:rPr>
          <w:rFonts w:eastAsia="方正小标宋简体"/>
          <w:szCs w:val="44"/>
        </w:rPr>
      </w:pPr>
    </w:p>
    <w:p>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陆军军医大学生物医学工程与影像医学系 </w:t>
      </w:r>
      <w:r>
        <w:rPr>
          <w:rFonts w:eastAsia="方正小标宋简体"/>
          <w:sz w:val="44"/>
          <w:szCs w:val="44"/>
          <w:u w:val="single"/>
        </w:rPr>
        <w:t xml:space="preserve"> </w:t>
      </w:r>
    </w:p>
    <w:p>
      <w:pPr>
        <w:snapToGrid w:val="0"/>
        <w:ind w:left="2240" w:leftChars="800"/>
        <w:rPr>
          <w:rFonts w:eastAsia="方正小标宋简体"/>
          <w:sz w:val="44"/>
          <w:szCs w:val="44"/>
        </w:rPr>
      </w:pPr>
    </w:p>
    <w:p>
      <w:pPr>
        <w:snapToGrid w:val="0"/>
        <w:ind w:left="2240" w:leftChars="800"/>
        <w:rPr>
          <w:rFonts w:eastAsia="方正小标宋简体"/>
          <w:sz w:val="44"/>
          <w:szCs w:val="44"/>
        </w:rPr>
      </w:pPr>
    </w:p>
    <w:p>
      <w:pPr>
        <w:snapToGrid w:val="0"/>
        <w:jc w:val="center"/>
        <w:outlineLvl w:val="0"/>
        <w:rPr>
          <w:rFonts w:eastAsia="方正大标宋简体"/>
          <w:sz w:val="96"/>
          <w:szCs w:val="130"/>
        </w:rPr>
      </w:pPr>
      <w:r>
        <w:rPr>
          <w:rFonts w:hint="eastAsia" w:eastAsia="方正小标宋简体"/>
          <w:sz w:val="44"/>
          <w:szCs w:val="44"/>
        </w:rPr>
        <w:t>二○二</w:t>
      </w:r>
      <w:r>
        <w:rPr>
          <w:rFonts w:hint="eastAsia" w:eastAsia="方正小标宋简体"/>
          <w:sz w:val="44"/>
          <w:szCs w:val="44"/>
          <w:lang w:val="en-US" w:eastAsia="zh-CN"/>
        </w:rPr>
        <w:t>四</w:t>
      </w:r>
      <w:r>
        <w:rPr>
          <w:rFonts w:hint="eastAsia" w:eastAsia="方正小标宋简体"/>
          <w:sz w:val="44"/>
          <w:szCs w:val="44"/>
        </w:rPr>
        <w:t>年</w:t>
      </w:r>
      <w:r>
        <w:rPr>
          <w:rFonts w:hint="eastAsia" w:eastAsia="方正小标宋简体"/>
          <w:sz w:val="44"/>
          <w:szCs w:val="44"/>
          <w:lang w:val="en-US" w:eastAsia="zh-CN"/>
        </w:rPr>
        <w:t>三</w:t>
      </w:r>
      <w:r>
        <w:rPr>
          <w:rFonts w:hint="eastAsia" w:eastAsia="方正小标宋简体"/>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关于</w:t>
      </w:r>
      <w:r>
        <w:rPr>
          <w:rFonts w:hint="eastAsia" w:ascii="仿宋_GB2312" w:hAnsi="仿宋_GB2312" w:eastAsia="仿宋_GB2312" w:cs="仿宋_GB2312"/>
          <w:szCs w:val="28"/>
          <w:u w:val="single"/>
          <w:lang w:val="en-US" w:eastAsia="zh-CN"/>
        </w:rPr>
        <w:t>六自由度动感汽车驾驶模拟器</w:t>
      </w:r>
      <w:r>
        <w:rPr>
          <w:rFonts w:hint="eastAsia" w:ascii="仿宋_GB2312" w:hAnsi="仿宋_GB2312" w:eastAsia="仿宋_GB2312" w:cs="仿宋_GB2312"/>
          <w:szCs w:val="28"/>
          <w:u w:val="single"/>
        </w:rPr>
        <w:t xml:space="preserve">的采购项目  </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w:t>
      </w:r>
      <w:r>
        <w:rPr>
          <w:rFonts w:hint="eastAsia" w:ascii="仿宋_GB2312" w:hAnsi="仿宋_GB2312" w:eastAsia="仿宋_GB2312" w:cs="仿宋_GB2312"/>
          <w:szCs w:val="28"/>
          <w:u w:val="single"/>
          <w:lang w:val="en-US" w:eastAsia="zh-CN"/>
        </w:rPr>
        <w:t>5</w:t>
      </w:r>
      <w:r>
        <w:rPr>
          <w:rFonts w:hint="eastAsia" w:ascii="仿宋_GB2312" w:hAnsi="仿宋_GB2312" w:eastAsia="仿宋_GB2312" w:cs="仿宋_GB2312"/>
          <w:szCs w:val="28"/>
          <w:u w:val="single"/>
        </w:rPr>
        <w:t xml:space="preserve">万  </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生物医学工程与影像医学系</w:t>
      </w:r>
      <w:r>
        <w:rPr>
          <w:rFonts w:hint="eastAsia" w:ascii="仿宋_GB2312" w:hAnsi="仿宋_GB2312" w:eastAsia="仿宋_GB2312" w:cs="仿宋_GB2312"/>
          <w:szCs w:val="28"/>
          <w:u w:val="single"/>
          <w:lang w:val="en-US" w:eastAsia="zh-CN"/>
        </w:rPr>
        <w:t>医学图像</w:t>
      </w:r>
      <w:r>
        <w:rPr>
          <w:rFonts w:hint="eastAsia" w:ascii="仿宋_GB2312" w:hAnsi="仿宋_GB2312" w:eastAsia="仿宋_GB2312" w:cs="仿宋_GB2312"/>
          <w:szCs w:val="28"/>
          <w:u w:val="single"/>
        </w:rPr>
        <w:t xml:space="preserve">学教研室  </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019"/>
        <w:gridCol w:w="2840"/>
        <w:gridCol w:w="142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5"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7"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4"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7"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5" w:type="pct"/>
          </w:tcPr>
          <w:p>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六自由度动感汽车驾驶模拟器</w:t>
            </w:r>
          </w:p>
        </w:tc>
        <w:tc>
          <w:tcPr>
            <w:tcW w:w="1667"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834"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7" w:type="pct"/>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r>
    </w:tbl>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4.……如有其他特定资格条件，无则删除本条。（</w:t>
      </w:r>
      <w:r>
        <w:rPr>
          <w:rFonts w:hint="eastAsia" w:ascii="仿宋_GB2312" w:hAnsi="仿宋_GB2312" w:eastAsia="仿宋_GB2312" w:cs="仿宋_GB2312"/>
          <w:i/>
          <w:iCs/>
          <w:kern w:val="0"/>
          <w:szCs w:val="28"/>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kern w:val="0"/>
          <w:szCs w:val="28"/>
        </w:rPr>
        <w:t>）</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lang w:val="en-US" w:eastAsia="zh-CN"/>
        </w:rPr>
        <w:t>4</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3</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30</w:t>
      </w:r>
      <w:r>
        <w:rPr>
          <w:rFonts w:hint="eastAsia" w:ascii="仿宋_GB2312" w:hAnsi="仿宋_GB2312" w:eastAsia="仿宋_GB2312" w:cs="仿宋_GB2312"/>
          <w:szCs w:val="28"/>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2023</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4</w:t>
      </w:r>
      <w:bookmarkStart w:id="0" w:name="_GoBack"/>
      <w:bookmarkEnd w:id="0"/>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30</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18</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时</w:t>
      </w:r>
      <w:r>
        <w:rPr>
          <w:rFonts w:hint="eastAsia" w:ascii="仿宋_GB2312" w:hAnsi="仿宋_GB2312" w:eastAsia="仿宋_GB2312" w:cs="仿宋_GB2312"/>
          <w:i/>
          <w:iCs/>
          <w:szCs w:val="28"/>
          <w:u w:val="single"/>
        </w:rPr>
        <w:t xml:space="preserve">   </w:t>
      </w:r>
      <w:r>
        <w:rPr>
          <w:rFonts w:hint="eastAsia" w:ascii="仿宋_GB2312" w:hAnsi="仿宋_GB2312" w:eastAsia="仿宋_GB2312" w:cs="仿宋_GB2312"/>
          <w:szCs w:val="28"/>
        </w:rPr>
        <w:t>分</w:t>
      </w:r>
      <w:r>
        <w:rPr>
          <w:rFonts w:hint="eastAsia" w:ascii="仿宋_GB2312" w:hAnsi="仿宋_GB2312" w:eastAsia="仿宋_GB2312" w:cs="仿宋_GB2312"/>
          <w:i/>
          <w:iCs/>
          <w:szCs w:val="28"/>
        </w:rPr>
        <w:t>（公告日期结束后任意时间）</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重庆市沙坪坝区高滩岩正街30号生物医学工程与影像医学系</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李鹏岳</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 xml:space="preserve"> </w:t>
      </w:r>
    </w:p>
    <w:p>
      <w:pPr>
        <w:pStyle w:val="18"/>
        <w:snapToGrid w:val="0"/>
        <w:spacing w:after="0" w:line="480" w:lineRule="exact"/>
        <w:ind w:firstLine="560" w:firstLineChars="200"/>
      </w:pPr>
      <w:r>
        <w:rPr>
          <w:rFonts w:hint="eastAsia" w:ascii="仿宋_GB2312" w:hAnsi="仿宋_GB2312" w:eastAsia="仿宋_GB2312" w:cs="仿宋_GB2312"/>
          <w:kern w:val="2"/>
          <w:szCs w:val="28"/>
        </w:rPr>
        <w:t>联系电话：</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w:t>
      </w:r>
      <w:r>
        <w:rPr>
          <w:rFonts w:hint="eastAsia" w:ascii="仿宋_GB2312" w:hAnsi="仿宋_GB2312" w:eastAsia="仿宋_GB2312" w:cs="仿宋_GB2312"/>
          <w:szCs w:val="28"/>
          <w:u w:val="single"/>
          <w:lang w:val="en-US" w:eastAsia="zh-CN"/>
        </w:rPr>
        <w:t>5123240791</w:t>
      </w:r>
      <w:r>
        <w:rPr>
          <w:rFonts w:hint="eastAsia" w:ascii="仿宋_GB2312" w:hAnsi="仿宋_GB2312" w:eastAsia="仿宋_GB2312" w:cs="仿宋_GB2312"/>
          <w:szCs w:val="28"/>
          <w:u w:val="single"/>
        </w:rPr>
        <w:t xml:space="preserve"> </w:t>
      </w:r>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566"/>
        <w:gridCol w:w="1663"/>
        <w:gridCol w:w="141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6" w:type="pct"/>
          </w:tcPr>
          <w:p>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六自由度动感汽车驾驶模拟器</w:t>
            </w:r>
          </w:p>
        </w:tc>
        <w:tc>
          <w:tcPr>
            <w:tcW w:w="976" w:type="pct"/>
            <w:vAlign w:val="center"/>
          </w:tcPr>
          <w:p>
            <w:pPr>
              <w:pStyle w:val="6"/>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台</w:t>
            </w:r>
          </w:p>
        </w:tc>
        <w:tc>
          <w:tcPr>
            <w:tcW w:w="828"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125" w:type="pct"/>
            <w:vAlign w:val="center"/>
          </w:tcPr>
          <w:p>
            <w:pPr>
              <w:pStyle w:val="6"/>
              <w:spacing w:line="400" w:lineRule="exact"/>
              <w:ind w:firstLine="0"/>
              <w:jc w:val="center"/>
              <w:outlineLvl w:val="0"/>
              <w:rPr>
                <w:rFonts w:hint="eastAsia" w:eastAsiaTheme="minorEastAsia"/>
                <w:sz w:val="21"/>
                <w:szCs w:val="21"/>
              </w:rPr>
            </w:pPr>
          </w:p>
        </w:tc>
      </w:tr>
    </w:tbl>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pStyle w:val="18"/>
        <w:spacing w:line="400" w:lineRule="exact"/>
        <w:rPr>
          <w:rFonts w:hint="eastAsia"/>
        </w:rPr>
      </w:pPr>
    </w:p>
    <w:p>
      <w:pPr>
        <w:spacing w:line="400" w:lineRule="exact"/>
        <w:jc w:val="center"/>
        <w:rPr>
          <w:rFonts w:ascii="黑体" w:hAnsi="黑体" w:eastAsia="黑体" w:cs="宋体"/>
          <w:bCs/>
          <w:kern w:val="0"/>
          <w:sz w:val="32"/>
          <w:szCs w:val="44"/>
        </w:rPr>
      </w:pPr>
      <w:r>
        <w:rPr>
          <w:rFonts w:hint="eastAsia" w:ascii="黑体" w:hAnsi="黑体" w:eastAsia="黑体" w:cs="宋体"/>
          <w:bCs/>
          <w:kern w:val="0"/>
          <w:sz w:val="32"/>
          <w:szCs w:val="44"/>
          <w:lang w:val="en-US" w:eastAsia="zh-CN"/>
        </w:rPr>
        <w:t>六自由度动感汽车驾驶模拟器</w:t>
      </w:r>
      <w:r>
        <w:rPr>
          <w:rFonts w:hint="eastAsia" w:ascii="黑体" w:hAnsi="黑体" w:eastAsia="黑体" w:cs="宋体"/>
          <w:bCs/>
          <w:kern w:val="0"/>
          <w:sz w:val="32"/>
          <w:szCs w:val="44"/>
        </w:rPr>
        <w:t>设备技术参数确认表</w:t>
      </w:r>
    </w:p>
    <w:p>
      <w:pPr>
        <w:pStyle w:val="18"/>
        <w:spacing w:line="400" w:lineRule="exact"/>
        <w:rPr>
          <w:rFonts w:hint="eastAsia"/>
        </w:rPr>
      </w:pPr>
    </w:p>
    <w:tbl>
      <w:tblPr>
        <w:tblStyle w:val="19"/>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sz w:val="21"/>
                <w:szCs w:val="21"/>
              </w:rPr>
            </w:pPr>
            <w:r>
              <w:rPr>
                <w:rFonts w:hint="eastAsia" w:ascii="幼圆" w:hAnsi="宋体" w:cs="宋体"/>
                <w:b/>
                <w:bCs/>
                <w:kern w:val="0"/>
                <w:sz w:val="21"/>
                <w:szCs w:val="21"/>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1</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1"/>
                <w:szCs w:val="21"/>
              </w:rPr>
            </w:pPr>
            <w:r>
              <w:rPr>
                <w:rFonts w:hint="eastAsia" w:ascii="宋体" w:hAnsi="宋体" w:cs="宋体"/>
                <w:bCs/>
                <w:kern w:val="0"/>
                <w:sz w:val="21"/>
                <w:szCs w:val="21"/>
              </w:rPr>
              <w:t>用作</w:t>
            </w:r>
            <w:r>
              <w:rPr>
                <w:rFonts w:hint="eastAsia" w:ascii="宋体" w:hAnsi="宋体" w:cs="宋体"/>
                <w:bCs/>
                <w:kern w:val="0"/>
                <w:sz w:val="21"/>
                <w:szCs w:val="21"/>
                <w:lang w:val="en-US" w:eastAsia="zh-CN"/>
              </w:rPr>
              <w:t>模拟驾驶或长途疲劳驾驶方面的</w:t>
            </w:r>
            <w:r>
              <w:rPr>
                <w:rFonts w:hint="eastAsia" w:ascii="宋体" w:hAnsi="宋体" w:cs="宋体"/>
                <w:bCs/>
                <w:kern w:val="0"/>
                <w:sz w:val="21"/>
                <w:szCs w:val="21"/>
              </w:rPr>
              <w:t>研究</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b/>
                <w:bCs/>
                <w:kern w:val="0"/>
                <w:sz w:val="21"/>
                <w:szCs w:val="21"/>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1.1</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设备用途</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bCs/>
                <w:kern w:val="0"/>
                <w:sz w:val="21"/>
                <w:szCs w:val="21"/>
                <w:lang w:val="en-US" w:eastAsia="zh-CN"/>
              </w:rPr>
              <w:t>模拟驾驶或长途疲劳驾驶</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sz w:val="21"/>
                <w:szCs w:val="21"/>
              </w:rPr>
            </w:pPr>
            <w:r>
              <w:rPr>
                <w:rFonts w:hint="eastAsia" w:ascii="宋体" w:hAnsi="宋体" w:cs="宋体"/>
                <w:kern w:val="0"/>
                <w:sz w:val="21"/>
                <w:szCs w:val="21"/>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rPr>
                <w:rFonts w:hint="eastAsia" w:ascii="宋体" w:hAnsi="宋体" w:eastAsia="宋体" w:cs="宋体"/>
                <w:kern w:val="0"/>
                <w:sz w:val="21"/>
                <w:szCs w:val="21"/>
                <w:lang w:val="en-US" w:eastAsia="zh-CN"/>
              </w:rPr>
            </w:pPr>
            <w:r>
              <w:rPr>
                <w:rFonts w:hint="eastAsia" w:ascii="宋体" w:hAnsi="宋体" w:cs="宋体"/>
                <w:kern w:val="0"/>
                <w:sz w:val="21"/>
                <w:szCs w:val="21"/>
              </w:rPr>
              <w:t xml:space="preserve"> </w:t>
            </w:r>
            <w:r>
              <w:rPr>
                <w:rFonts w:ascii="宋体" w:hAnsi="宋体" w:cs="宋体"/>
                <w:kern w:val="0"/>
                <w:sz w:val="21"/>
                <w:szCs w:val="21"/>
              </w:rPr>
              <w:t xml:space="preserve">            </w:t>
            </w:r>
            <w:r>
              <w:rPr>
                <w:rFonts w:hint="eastAsia" w:ascii="宋体" w:hAnsi="宋体" w:cs="宋体"/>
                <w:kern w:val="0"/>
                <w:sz w:val="21"/>
                <w:szCs w:val="21"/>
                <w:lang w:val="en-US" w:eastAsia="zh-CN"/>
              </w:rPr>
              <w:t>人</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Cs/>
                <w:kern w:val="0"/>
                <w:sz w:val="21"/>
                <w:szCs w:val="21"/>
              </w:rPr>
            </w:pPr>
            <w:r>
              <w:rPr>
                <w:rFonts w:hint="eastAsia" w:ascii="宋体" w:hAnsi="宋体" w:cs="宋体"/>
                <w:bCs/>
                <w:kern w:val="0"/>
                <w:sz w:val="21"/>
                <w:szCs w:val="21"/>
              </w:rPr>
              <w:t>1.3</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1"/>
                <w:szCs w:val="21"/>
              </w:rPr>
            </w:pPr>
            <w:r>
              <w:rPr>
                <w:rFonts w:hint="eastAsia" w:ascii="宋体" w:hAnsi="宋体" w:cs="宋体"/>
                <w:bCs/>
                <w:kern w:val="0"/>
                <w:sz w:val="21"/>
                <w:szCs w:val="21"/>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1"/>
                <w:szCs w:val="21"/>
              </w:rPr>
            </w:pPr>
          </w:p>
        </w:tc>
        <w:tc>
          <w:tcPr>
            <w:tcW w:w="1843" w:type="dxa"/>
            <w:tcBorders>
              <w:top w:val="nil"/>
              <w:left w:val="nil"/>
              <w:bottom w:val="single" w:color="auto" w:sz="4" w:space="0"/>
              <w:right w:val="single" w:color="auto" w:sz="8" w:space="0"/>
            </w:tcBorders>
            <w:vAlign w:val="center"/>
          </w:tcPr>
          <w:p>
            <w:pPr>
              <w:widowControl/>
              <w:rPr>
                <w:rFonts w:ascii="宋体" w:hAnsi="宋体" w:cs="宋体"/>
                <w:b/>
                <w:bCs/>
                <w:kern w:val="0"/>
                <w:sz w:val="21"/>
                <w:szCs w:val="21"/>
              </w:rPr>
            </w:pPr>
            <w:r>
              <w:rPr>
                <w:rFonts w:hint="eastAsia" w:ascii="宋体" w:hAnsi="宋体" w:cs="宋体"/>
                <w:b/>
                <w:bCs/>
                <w:kern w:val="0"/>
                <w:sz w:val="21"/>
                <w:szCs w:val="21"/>
              </w:rPr>
              <w:t xml:space="preserve"> </w:t>
            </w:r>
            <w:r>
              <w:rPr>
                <w:rFonts w:ascii="宋体" w:hAnsi="宋体" w:cs="宋体"/>
                <w:b/>
                <w:bCs/>
                <w:kern w:val="0"/>
                <w:sz w:val="21"/>
                <w:szCs w:val="21"/>
              </w:rPr>
              <w:t xml:space="preserve">       </w:t>
            </w: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sz w:val="21"/>
                <w:szCs w:val="21"/>
              </w:rPr>
            </w:pPr>
            <w:r>
              <w:rPr>
                <w:rFonts w:hint="eastAsia" w:ascii="宋体" w:hAnsi="宋体" w:cs="宋体"/>
                <w:b/>
                <w:kern w:val="0"/>
                <w:sz w:val="21"/>
                <w:szCs w:val="21"/>
              </w:rPr>
              <w:t>2</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b/>
                <w:bCs/>
                <w:kern w:val="0"/>
                <w:sz w:val="21"/>
                <w:szCs w:val="21"/>
              </w:rPr>
              <w:t>一行只写一个参数</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★参数1</w:t>
            </w:r>
          </w:p>
        </w:tc>
        <w:tc>
          <w:tcPr>
            <w:tcW w:w="4961" w:type="dxa"/>
            <w:tcBorders>
              <w:top w:val="nil"/>
              <w:left w:val="nil"/>
              <w:bottom w:val="single" w:color="auto" w:sz="4" w:space="0"/>
              <w:right w:val="single" w:color="auto" w:sz="4" w:space="0"/>
            </w:tcBorders>
            <w:vAlign w:val="center"/>
          </w:tcPr>
          <w:p>
            <w:pPr>
              <w:spacing w:line="360" w:lineRule="auto"/>
              <w:rPr>
                <w:rFonts w:hint="default"/>
                <w:szCs w:val="24"/>
                <w:lang w:val="en-US"/>
              </w:rPr>
            </w:pPr>
            <w:r>
              <w:rPr>
                <w:rFonts w:hint="eastAsia" w:eastAsia="等线"/>
                <w:sz w:val="22"/>
                <w:szCs w:val="22"/>
                <w:lang w:val="en-US" w:eastAsia="zh-CN"/>
              </w:rPr>
              <w:t>模拟驾驶器软件相关参数：</w:t>
            </w:r>
            <w:r>
              <w:rPr>
                <w:rFonts w:hint="eastAsia" w:eastAsia="等线"/>
                <w:sz w:val="22"/>
                <w:szCs w:val="22"/>
              </w:rPr>
              <w:t>功率消耗：&lt;250W</w:t>
            </w:r>
            <w:r>
              <w:rPr>
                <w:rFonts w:hint="eastAsia" w:eastAsia="等线"/>
                <w:sz w:val="22"/>
                <w:szCs w:val="22"/>
                <w:lang w:eastAsia="zh-CN"/>
              </w:rPr>
              <w:t>，</w:t>
            </w:r>
            <w:r>
              <w:rPr>
                <w:rFonts w:hint="eastAsia" w:eastAsia="等线"/>
                <w:sz w:val="22"/>
                <w:szCs w:val="22"/>
              </w:rPr>
              <w:t>频率响应：100</w:t>
            </w:r>
            <w:r>
              <w:rPr>
                <w:rFonts w:hint="eastAsia" w:eastAsia="等线"/>
                <w:sz w:val="22"/>
                <w:szCs w:val="22"/>
                <w:lang w:val="en-US" w:eastAsia="zh-CN"/>
              </w:rPr>
              <w:t>HZ-12.5DHZ，信噪比：≧50dB，抖晃率：≦0.2%</w:t>
            </w:r>
          </w:p>
          <w:p>
            <w:pPr>
              <w:numPr>
                <w:numId w:val="0"/>
              </w:numPr>
              <w:spacing w:line="276" w:lineRule="auto"/>
              <w:rPr>
                <w:rFonts w:hint="default" w:ascii="Calibri" w:hAnsi="Calibri" w:eastAsia="等线" w:cs="Calibri"/>
                <w:kern w:val="10"/>
                <w:sz w:val="21"/>
                <w:szCs w:val="21"/>
                <w:lang w:val="en-US" w:eastAsia="zh-CN"/>
              </w:rPr>
            </w:pPr>
          </w:p>
        </w:tc>
        <w:tc>
          <w:tcPr>
            <w:tcW w:w="1843" w:type="dxa"/>
            <w:tcBorders>
              <w:top w:val="nil"/>
              <w:left w:val="nil"/>
              <w:bottom w:val="single" w:color="auto" w:sz="4" w:space="0"/>
              <w:right w:val="single" w:color="auto" w:sz="8" w:space="0"/>
            </w:tcBorders>
            <w:vAlign w:val="center"/>
          </w:tcPr>
          <w:p>
            <w:pPr>
              <w:widowControl/>
              <w:rPr>
                <w:rFonts w:ascii="宋体" w:hAnsi="宋体" w:cs="宋体"/>
                <w:kern w:val="0"/>
                <w:sz w:val="18"/>
                <w:szCs w:val="18"/>
              </w:rPr>
            </w:pPr>
            <w:r>
              <w:rPr>
                <w:rFonts w:hint="eastAsia" w:ascii="宋体" w:hAnsi="宋体" w:cs="宋体"/>
                <w:kern w:val="0"/>
                <w:sz w:val="18"/>
                <w:szCs w:val="18"/>
              </w:rPr>
              <w:t>此参数为</w:t>
            </w:r>
            <w:r>
              <w:rPr>
                <w:rFonts w:hint="eastAsia" w:ascii="宋体" w:hAnsi="宋体" w:cs="宋体"/>
                <w:kern w:val="0"/>
                <w:sz w:val="18"/>
                <w:szCs w:val="18"/>
                <w:lang w:val="en-US" w:eastAsia="zh-CN"/>
              </w:rPr>
              <w:t>软件</w:t>
            </w:r>
            <w:r>
              <w:rPr>
                <w:rFonts w:hint="eastAsia" w:ascii="宋体" w:hAnsi="宋体" w:cs="宋体"/>
                <w:kern w:val="0"/>
                <w:sz w:val="18"/>
                <w:szCs w:val="18"/>
              </w:rPr>
              <w:t>最重要的性能参数。</w:t>
            </w:r>
          </w:p>
          <w:p>
            <w:pPr>
              <w:widowControl/>
              <w:rPr>
                <w:rFonts w:ascii="宋体" w:hAnsi="宋体" w:cs="宋体"/>
                <w:kern w:val="0"/>
                <w:sz w:val="18"/>
                <w:szCs w:val="18"/>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▲参数2</w:t>
            </w:r>
          </w:p>
        </w:tc>
        <w:tc>
          <w:tcPr>
            <w:tcW w:w="4961" w:type="dxa"/>
            <w:tcBorders>
              <w:top w:val="nil"/>
              <w:left w:val="nil"/>
              <w:bottom w:val="single" w:color="auto" w:sz="4" w:space="0"/>
              <w:right w:val="single" w:color="auto" w:sz="4" w:space="0"/>
            </w:tcBorders>
            <w:vAlign w:val="center"/>
          </w:tcPr>
          <w:p>
            <w:pPr>
              <w:spacing w:line="276" w:lineRule="auto"/>
              <w:jc w:val="both"/>
              <w:rPr>
                <w:rFonts w:hint="eastAsia" w:eastAsia="等线"/>
                <w:sz w:val="22"/>
                <w:szCs w:val="22"/>
              </w:rPr>
            </w:pPr>
            <w:r>
              <w:rPr>
                <w:rFonts w:hint="eastAsia" w:eastAsia="等线"/>
                <w:sz w:val="22"/>
                <w:szCs w:val="22"/>
                <w:lang w:val="en-US" w:eastAsia="zh-CN"/>
              </w:rPr>
              <w:t>三屏单人座外形规格大于：1500mm*1250mm*1700mm</w:t>
            </w:r>
          </w:p>
        </w:tc>
        <w:tc>
          <w:tcPr>
            <w:tcW w:w="1843" w:type="dxa"/>
            <w:vMerge w:val="restart"/>
            <w:tcBorders>
              <w:top w:val="nil"/>
              <w:left w:val="nil"/>
              <w:right w:val="single" w:color="auto" w:sz="8" w:space="0"/>
            </w:tcBorders>
            <w:vAlign w:val="center"/>
          </w:tcPr>
          <w:p>
            <w:pPr>
              <w:widowControl/>
              <w:rPr>
                <w:rFonts w:hint="eastAsia" w:ascii="宋体" w:hAnsi="宋体" w:eastAsia="宋体" w:cs="宋体"/>
                <w:kern w:val="0"/>
                <w:sz w:val="18"/>
                <w:szCs w:val="18"/>
                <w:lang w:eastAsia="zh-CN"/>
              </w:rPr>
            </w:pPr>
            <w:r>
              <w:rPr>
                <w:rFonts w:hint="eastAsia" w:ascii="宋体" w:hAnsi="宋体" w:cs="宋体"/>
                <w:kern w:val="0"/>
                <w:sz w:val="18"/>
                <w:szCs w:val="18"/>
              </w:rPr>
              <w:t>最好提供可量化参数，不得粘贴产品说明书</w:t>
            </w:r>
            <w:r>
              <w:rPr>
                <w:rFonts w:hint="eastAsia" w:ascii="宋体" w:hAnsi="宋体" w:cs="宋体"/>
                <w:kern w:val="0"/>
                <w:sz w:val="18"/>
                <w:szCs w:val="18"/>
                <w:lang w:eastAsia="zh-CN"/>
              </w:rPr>
              <w:t>。</w:t>
            </w: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2.3</w:t>
            </w:r>
          </w:p>
        </w:tc>
        <w:tc>
          <w:tcPr>
            <w:tcW w:w="1701" w:type="dxa"/>
            <w:tcBorders>
              <w:top w:val="nil"/>
              <w:left w:val="nil"/>
              <w:bottom w:val="single" w:color="auto" w:sz="4" w:space="0"/>
              <w:right w:val="single" w:color="auto" w:sz="4" w:space="0"/>
            </w:tcBorders>
            <w:vAlign w:val="center"/>
          </w:tcPr>
          <w:p>
            <w:pPr>
              <w:jc w:val="center"/>
              <w:rPr>
                <w:rFonts w:ascii="宋体" w:hAnsi="宋体" w:cs="Calibri"/>
                <w:kern w:val="10"/>
                <w:sz w:val="21"/>
                <w:szCs w:val="21"/>
              </w:rPr>
            </w:pPr>
            <w:r>
              <w:rPr>
                <w:rFonts w:hint="eastAsia" w:ascii="宋体" w:hAnsi="宋体" w:cs="宋体"/>
                <w:kern w:val="0"/>
                <w:sz w:val="21"/>
                <w:szCs w:val="21"/>
              </w:rPr>
              <w:t>参数3</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eastAsia="等线"/>
                <w:sz w:val="22"/>
                <w:szCs w:val="22"/>
              </w:rPr>
            </w:pPr>
            <w:r>
              <w:rPr>
                <w:rFonts w:hint="eastAsia" w:eastAsia="等线"/>
                <w:sz w:val="22"/>
                <w:szCs w:val="22"/>
                <w:lang w:val="en-US" w:eastAsia="zh-CN"/>
              </w:rPr>
              <w:t>系统响应频率：0-10HZ。装机总功率：≦4.5KW，输入电压220V</w:t>
            </w:r>
          </w:p>
        </w:tc>
        <w:tc>
          <w:tcPr>
            <w:tcW w:w="1843" w:type="dxa"/>
            <w:vMerge w:val="continue"/>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w:t>
            </w:r>
          </w:p>
        </w:tc>
        <w:tc>
          <w:tcPr>
            <w:tcW w:w="1701"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参数4</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模拟变速器：采用仿实车变速箱档位。档位为：倒档、一档、二档、三档、四档、五档和空挡（如果是自动档要含前进档、倒车档和驻车档）</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参数5</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离合器：离合器采用仿实车压盘，实现半联动力感，离合器结合、分离、半联动状态感觉明显，分级输出。</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2.6</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参数6</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驾驶座舱：驾驶舱是由转向器、油门、离合器、脚刹车、手刹车等操纵机件及座椅等组成。组件必须是真车实物配件。环保且防火外壳。</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2.7</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参数7</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传感器：传感器信号为模拟量或数字量，输出变化时声音、视像同步变化（音量变化不少于5级），滞后小于50毫秒。有力度变化，力度均适合青少年儿童使用。</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2.8</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参数8</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转向器：转向器转向范围不小于0－1060度（数字量分级不小于180脉冲/圈），反应灵敏，能够自动回正。油门、刹车信号分级输出，不少于5级，或无级输出。</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2.9</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参数9</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汽车座椅：专业汽车座椅、美观、耐用。前后可调。</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2.10</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参数10</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驾驶模拟器软件版本要求：VP运行版授权（Vega Prime、Distributed Rendering、FX、Light Lobes、Vortex）5项模块。系统必须由四个主要软件构成：汽车模拟驾驶教学系统软件；汽车驾驶模拟系统科目考试软件；车辆预防事故仿真模拟系统；汽车液压动力转向控制系统仿真演示软件组成。</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2.11</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参数11</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软件主界面：启动画面后，界面下方同时显示：油门、刹车、转向、离合器深浅进度均有显示。视景120度全新广角宽频驾驶模拟，界面显示各项指示灯、文字提示框、档位位置、训练成绩，后视镜（左、右、中）可调节、训练线路图均有显示。</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2.12</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参数12</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驾驶模拟车型：小汽车、小货车、大货车、面包车、大巴车、农用车、军用车、无极变速车（自动档及残疾车）等。</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2.13</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参数13</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视景全部由计算机实时生成三维图像。32位真彩色，大于24帧/秒。多自由度数学模型，实现汽车转向、制动和加速的逼真模拟。</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2.14</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参数14</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包含以下模拟道路。炫目道路：（朝九晚五的太阳）炫目会车，炫目驾驶乡村道路等。泥泞道路：泥泞洼地道路驾驶（方向、制动、驱动有打滑滞后感）场景模型取乡村道路，道路变为泥泞状态。石子路面：汽车在其上面行驶，遇到刹车时刹不住车，还可汽车还在继续滑动，有时还会斜向滑行，极难控制感，汽车在石子路面里滑动。涉水道路：涉水驾驶汽车有水流冲力对车辆的前进阻力感光及侧滑感，轮胎与水下的路压力减小，驱动力受到限制，使行驶受阻感觉。专项训练：要附合交通部要求。系统评分：每次驾驶结束,系统自动评分。山区到路：突出坡多、弯多、凹凸路面、驾驶环境复杂、有侧风、有陡坡长坡、溜坡、侧滑（有语音提示）。乡村道路：含铁道路口；加油站，公交车站、单行道、农田道口等；城市道路：含公交站台，高架立交桥、公交专用道、十字路口、丁字路口、环岛、隧道、单行道、双黄线、加油站、商场百货门口斑马线天桥，学校门口及红绿灯，行人、非机动车乱穿马路及非机动车等。高速公路：包括收费站（入、停、出、）服务区、紧急带、匝道行驶、超车道、行车道、隧道、立交桥、交通标牌标线。危险场景：视线不清的交通情况下，超车后突然切入他人道引起被超车辆紧急制动、自行车、行人突然横穿马路，路面维修，障碍物绕行等 危险场景、专项驾驶：危险道路、眩目道路、爆胎体验、紧急避让、趣味驾驶等驾驶科目。</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2.15</w:t>
            </w:r>
          </w:p>
        </w:tc>
        <w:tc>
          <w:tcPr>
            <w:tcW w:w="1701" w:type="dxa"/>
            <w:tcBorders>
              <w:top w:val="nil"/>
              <w:left w:val="nil"/>
              <w:bottom w:val="single" w:color="auto" w:sz="4" w:space="0"/>
              <w:right w:val="single" w:color="auto" w:sz="4" w:space="0"/>
            </w:tcBorders>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参数15</w:t>
            </w:r>
          </w:p>
        </w:tc>
        <w:tc>
          <w:tcPr>
            <w:tcW w:w="4961" w:type="dxa"/>
            <w:tcBorders>
              <w:top w:val="nil"/>
              <w:left w:val="nil"/>
              <w:bottom w:val="single" w:color="auto" w:sz="4" w:space="0"/>
              <w:right w:val="single" w:color="auto" w:sz="4" w:space="0"/>
            </w:tcBorders>
            <w:vAlign w:val="center"/>
          </w:tcPr>
          <w:p>
            <w:pPr>
              <w:numPr>
                <w:numId w:val="0"/>
              </w:numPr>
              <w:spacing w:line="276" w:lineRule="auto"/>
              <w:ind w:leftChars="0"/>
              <w:rPr>
                <w:rFonts w:hint="eastAsia" w:eastAsia="等线"/>
                <w:sz w:val="22"/>
                <w:szCs w:val="22"/>
                <w:lang w:val="en-US" w:eastAsia="zh-CN"/>
              </w:rPr>
            </w:pPr>
            <w:r>
              <w:rPr>
                <w:rFonts w:hint="eastAsia" w:eastAsia="等线"/>
                <w:sz w:val="22"/>
                <w:szCs w:val="22"/>
                <w:lang w:val="en-US" w:eastAsia="zh-CN"/>
              </w:rPr>
              <w:t>最新版本交通部标志标线版本。</w:t>
            </w:r>
          </w:p>
        </w:tc>
        <w:tc>
          <w:tcPr>
            <w:tcW w:w="1843" w:type="dxa"/>
            <w:tcBorders>
              <w:left w:val="nil"/>
              <w:bottom w:val="single" w:color="auto" w:sz="4" w:space="0"/>
              <w:right w:val="single" w:color="auto" w:sz="8" w:space="0"/>
            </w:tcBorders>
            <w:vAlign w:val="center"/>
          </w:tcPr>
          <w:p>
            <w:pPr>
              <w:widowControl/>
              <w:rPr>
                <w:rFonts w:ascii="宋体" w:hAnsi="宋体" w:cs="宋体"/>
                <w:kern w:val="0"/>
                <w:sz w:val="21"/>
                <w:szCs w:val="21"/>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3</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配置</w:t>
            </w:r>
          </w:p>
        </w:tc>
        <w:tc>
          <w:tcPr>
            <w:tcW w:w="4961" w:type="dxa"/>
            <w:tcBorders>
              <w:top w:val="nil"/>
              <w:left w:val="nil"/>
              <w:bottom w:val="single" w:color="auto" w:sz="4" w:space="0"/>
              <w:right w:val="single" w:color="auto" w:sz="4" w:space="0"/>
            </w:tcBorders>
            <w:vAlign w:val="center"/>
          </w:tcPr>
          <w:p>
            <w:pPr>
              <w:rPr>
                <w:rFonts w:ascii="宋体" w:hAnsi="宋体" w:cs="Calibri"/>
                <w:b/>
                <w:kern w:val="10"/>
                <w:sz w:val="21"/>
                <w:szCs w:val="21"/>
              </w:rPr>
            </w:pP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3.1</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配置1</w:t>
            </w:r>
          </w:p>
        </w:tc>
        <w:tc>
          <w:tcPr>
            <w:tcW w:w="4961" w:type="dxa"/>
            <w:tcBorders>
              <w:top w:val="nil"/>
              <w:left w:val="nil"/>
              <w:bottom w:val="single" w:color="auto" w:sz="4" w:space="0"/>
              <w:right w:val="single" w:color="auto" w:sz="4" w:space="0"/>
            </w:tcBorders>
            <w:vAlign w:val="center"/>
          </w:tcPr>
          <w:p>
            <w:pPr>
              <w:rPr>
                <w:rFonts w:ascii="宋体" w:hAnsi="宋体" w:cs="Calibri"/>
                <w:kern w:val="10"/>
                <w:sz w:val="21"/>
                <w:szCs w:val="21"/>
              </w:rPr>
            </w:pPr>
            <w:r>
              <w:rPr>
                <w:rFonts w:hint="eastAsia" w:eastAsia="等线"/>
                <w:sz w:val="22"/>
                <w:szCs w:val="22"/>
                <w:lang w:val="en-US" w:eastAsia="zh-CN"/>
              </w:rPr>
              <w:t>计算机配置必须高于以下配置：主板：翔升 H61，CPU：四核i3,3220，内存容量：4GB DDR，SATA硬盘容量：固态120GB ，独立显卡：HD7600 2G，3台32寸液晶显示器</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57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4</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售后服务</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三年之内免费保修</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b/>
                <w:bCs/>
                <w:kern w:val="0"/>
                <w:sz w:val="21"/>
                <w:szCs w:val="21"/>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4.1</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保修年限</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3</w:t>
            </w:r>
            <w:r>
              <w:rPr>
                <w:rFonts w:hint="eastAsia" w:ascii="宋体" w:hAnsi="宋体" w:cs="宋体"/>
                <w:kern w:val="0"/>
                <w:sz w:val="21"/>
                <w:szCs w:val="21"/>
              </w:rPr>
              <w:t>年</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125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4.2</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出现故障回应时间</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xml:space="preserve">维修到达现场时间≤ </w:t>
            </w:r>
            <w:r>
              <w:rPr>
                <w:rFonts w:ascii="宋体" w:hAnsi="宋体" w:cs="宋体"/>
                <w:kern w:val="0"/>
                <w:sz w:val="21"/>
                <w:szCs w:val="21"/>
              </w:rPr>
              <w:t>24</w:t>
            </w:r>
            <w:r>
              <w:rPr>
                <w:rFonts w:hint="eastAsia" w:ascii="宋体" w:hAnsi="宋体" w:cs="宋体"/>
                <w:kern w:val="0"/>
                <w:sz w:val="21"/>
                <w:szCs w:val="21"/>
              </w:rPr>
              <w:t>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w:t>
            </w:r>
            <w:r>
              <w:rPr>
                <w:rFonts w:ascii="宋体" w:hAnsi="宋体" w:cs="宋体"/>
                <w:kern w:val="0"/>
                <w:sz w:val="21"/>
                <w:szCs w:val="21"/>
              </w:rPr>
              <w:t>72</w:t>
            </w:r>
            <w:r>
              <w:rPr>
                <w:rFonts w:hint="eastAsia" w:ascii="宋体" w:hAnsi="宋体" w:cs="宋体"/>
                <w:kern w:val="0"/>
                <w:sz w:val="21"/>
                <w:szCs w:val="21"/>
              </w:rPr>
              <w:t>小时（外地）</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4.3</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维修支持</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配件供应时间≥</w:t>
            </w:r>
            <w:r>
              <w:rPr>
                <w:rFonts w:ascii="宋体" w:hAnsi="宋体" w:cs="宋体"/>
                <w:kern w:val="0"/>
                <w:sz w:val="21"/>
                <w:szCs w:val="21"/>
              </w:rPr>
              <w:t>10</w:t>
            </w:r>
            <w:r>
              <w:rPr>
                <w:rFonts w:hint="eastAsia" w:ascii="宋体" w:hAnsi="宋体" w:cs="宋体"/>
                <w:kern w:val="0"/>
                <w:sz w:val="21"/>
                <w:szCs w:val="21"/>
              </w:rPr>
              <w:t>年</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4</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升级</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终身免费软件升级</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5</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使用培训</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提供</w:t>
            </w:r>
            <w:r>
              <w:rPr>
                <w:rFonts w:ascii="宋体" w:hAnsi="宋体" w:cs="宋体"/>
                <w:kern w:val="0"/>
                <w:sz w:val="21"/>
                <w:szCs w:val="21"/>
              </w:rPr>
              <w:t>1</w:t>
            </w:r>
            <w:r>
              <w:rPr>
                <w:rFonts w:hint="eastAsia" w:ascii="宋体" w:hAnsi="宋体" w:cs="宋体"/>
                <w:kern w:val="0"/>
                <w:sz w:val="21"/>
                <w:szCs w:val="21"/>
              </w:rPr>
              <w:t>次培训</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6</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工程师培训</w:t>
            </w:r>
          </w:p>
        </w:tc>
        <w:tc>
          <w:tcPr>
            <w:tcW w:w="496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提供</w:t>
            </w:r>
            <w:r>
              <w:rPr>
                <w:rFonts w:ascii="宋体" w:hAnsi="宋体" w:cs="宋体"/>
                <w:kern w:val="0"/>
                <w:sz w:val="21"/>
                <w:szCs w:val="21"/>
              </w:rPr>
              <w:t>1</w:t>
            </w:r>
            <w:r>
              <w:rPr>
                <w:rFonts w:hint="eastAsia" w:ascii="宋体" w:hAnsi="宋体" w:cs="宋体"/>
                <w:kern w:val="0"/>
                <w:sz w:val="21"/>
                <w:szCs w:val="21"/>
              </w:rPr>
              <w:t>次培训</w:t>
            </w:r>
          </w:p>
        </w:tc>
        <w:tc>
          <w:tcPr>
            <w:tcW w:w="1843"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p>
        </w:tc>
      </w:tr>
    </w:tbl>
    <w:p>
      <w:pPr>
        <w:spacing w:line="520" w:lineRule="exact"/>
        <w:rPr>
          <w:rFonts w:ascii="宋体" w:hAnsi="宋体" w:cs="宋体"/>
          <w:bCs/>
          <w:kern w:val="0"/>
          <w:sz w:val="21"/>
          <w:szCs w:val="21"/>
        </w:rPr>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 xml:space="preserve"> </w:t>
      </w:r>
      <w:r>
        <w:rPr>
          <w:rFonts w:eastAsia="仿宋_GB2312"/>
          <w:szCs w:val="28"/>
          <w:u w:val="single"/>
        </w:rPr>
        <w:t>5</w:t>
      </w:r>
      <w:r>
        <w:rPr>
          <w:rFonts w:hint="eastAsia" w:eastAsia="仿宋_GB2312"/>
          <w:szCs w:val="28"/>
          <w:u w:val="single"/>
        </w:rPr>
        <w:t xml:space="preserve"> </w:t>
      </w:r>
      <w:r>
        <w:rPr>
          <w:rFonts w:hint="eastAsia" w:eastAsia="仿宋_GB2312"/>
          <w:szCs w:val="28"/>
        </w:rPr>
        <w:t>个自然日内送货到采购人指定地点。</w:t>
      </w:r>
    </w:p>
    <w:p>
      <w:pPr>
        <w:snapToGrid w:val="0"/>
        <w:spacing w:line="480" w:lineRule="exact"/>
        <w:ind w:firstLine="560" w:firstLineChars="200"/>
        <w:jc w:val="left"/>
        <w:rPr>
          <w:rFonts w:eastAsia="仿宋_GB2312"/>
          <w:szCs w:val="28"/>
        </w:rPr>
      </w:pPr>
      <w:r>
        <w:rPr>
          <w:rFonts w:hint="eastAsia" w:eastAsia="仿宋_GB2312"/>
          <w:szCs w:val="28"/>
        </w:rPr>
        <w:t>2.实施地点：重庆市沙坪坝区成交人所在实验室。</w:t>
      </w:r>
    </w:p>
    <w:p>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3.实施方式：成交人按照采购单位的要求，在合同生效后1个月内将货物交付至陆军军医大学生物医学工程与影像医学系。</w:t>
      </w:r>
    </w:p>
    <w:p>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hint="eastAsia" w:eastAsia="仿宋_GB2312"/>
          <w:szCs w:val="28"/>
        </w:rPr>
      </w:pPr>
      <w:r>
        <w:rPr>
          <w:rFonts w:hint="eastAsia" w:eastAsia="仿宋_GB2312"/>
          <w:szCs w:val="28"/>
        </w:rPr>
        <w:t>免费质量保证期：</w:t>
      </w:r>
      <w:r>
        <w:rPr>
          <w:rFonts w:hint="eastAsia" w:eastAsia="仿宋_GB2312"/>
          <w:szCs w:val="28"/>
          <w:u w:val="single"/>
        </w:rPr>
        <w:t xml:space="preserve">  </w:t>
      </w:r>
      <w:r>
        <w:rPr>
          <w:rFonts w:hint="eastAsia" w:eastAsia="仿宋_GB2312"/>
          <w:szCs w:val="28"/>
          <w:u w:val="single"/>
          <w:lang w:val="en-US" w:eastAsia="zh-CN"/>
        </w:rPr>
        <w:t>3</w:t>
      </w:r>
      <w:r>
        <w:rPr>
          <w:rFonts w:hint="eastAsia" w:eastAsia="仿宋_GB2312"/>
          <w:szCs w:val="28"/>
          <w:u w:val="single"/>
        </w:rPr>
        <w:t xml:space="preserve">  </w:t>
      </w:r>
      <w:r>
        <w:rPr>
          <w:rFonts w:hint="eastAsia" w:eastAsia="仿宋_GB2312"/>
          <w:szCs w:val="28"/>
        </w:rPr>
        <w:t>年</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eastAsia="仿宋_GB2312"/>
          <w:szCs w:val="28"/>
        </w:rPr>
      </w:pPr>
      <w:r>
        <w:rPr>
          <w:rFonts w:hint="eastAsia" w:eastAsia="仿宋_GB2312"/>
          <w:szCs w:val="28"/>
        </w:rPr>
        <w:t>成交人按照采购人的订购数量供货，安装调试完毕，采购人验收合格，签字确认收货后支付合同金额的百分之九十五，余百分之五作为质保金，质保期一年，质保期满后支付剩下的百分之五。</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eastAsia="仿宋_GB2312"/>
          <w:szCs w:val="28"/>
        </w:rPr>
      </w:pPr>
      <w:r>
        <w:rPr>
          <w:rFonts w:hint="eastAsia" w:eastAsia="仿宋_GB2312"/>
          <w:szCs w:val="28"/>
        </w:rPr>
        <w:t>具体组织程序、验收标准和方法，按需求方规定程序执行，成交人配合。</w:t>
      </w:r>
    </w:p>
    <w:p>
      <w:pPr>
        <w:snapToGrid w:val="0"/>
        <w:spacing w:line="480" w:lineRule="exact"/>
        <w:ind w:firstLine="560" w:firstLineChars="200"/>
        <w:jc w:val="left"/>
        <w:rPr>
          <w:rFonts w:eastAsia="仿宋_GB2312"/>
        </w:rPr>
      </w:pPr>
      <w:r>
        <w:rPr>
          <w:rFonts w:hint="eastAsia" w:eastAsia="仿宋_GB2312"/>
          <w:szCs w:val="28"/>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pStyle w:val="18"/>
        <w:snapToGrid w:val="0"/>
        <w:spacing w:after="0" w:line="480" w:lineRule="exact"/>
        <w:ind w:firstLine="560" w:firstLineChars="200"/>
        <w:rPr>
          <w:highlight w:val="yellow"/>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color w:val="000000"/>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szCs w:val="28"/>
        </w:rPr>
      </w:pPr>
    </w:p>
    <w:p>
      <w:pPr>
        <w:rPr>
          <w:szCs w:val="28"/>
        </w:rPr>
      </w:pPr>
    </w:p>
    <w:p>
      <w:pPr>
        <w:rPr>
          <w:szCs w:val="28"/>
        </w:rPr>
      </w:pPr>
    </w:p>
    <w:p>
      <w:pPr>
        <w:rPr>
          <w:szCs w:val="28"/>
        </w:rPr>
      </w:pPr>
    </w:p>
    <w:p>
      <w:pPr>
        <w:rPr>
          <w:kern w:val="0"/>
          <w:szCs w:val="28"/>
        </w:rPr>
      </w:pPr>
    </w:p>
    <w:p>
      <w:pPr>
        <w:pStyle w:val="18"/>
        <w:rPr>
          <w:szCs w:val="28"/>
        </w:rPr>
      </w:pPr>
    </w:p>
    <w:p>
      <w:pPr>
        <w:rPr>
          <w:kern w:val="0"/>
          <w:szCs w:val="28"/>
        </w:rPr>
      </w:pPr>
    </w:p>
    <w:p>
      <w:pPr>
        <w:pStyle w:val="18"/>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8"/>
      </w:pPr>
    </w:p>
    <w:p>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宋体-PUA">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Q0MDQ2YzUxYjhkNDRjZWE1MWJmNmY5Mzk0MTIzMT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D0C"/>
    <w:rsid w:val="000B3A64"/>
    <w:rsid w:val="000D2073"/>
    <w:rsid w:val="000D36AC"/>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7AE6"/>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3D756C"/>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4399"/>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C4C9F"/>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30379"/>
    <w:rsid w:val="00B529B0"/>
    <w:rsid w:val="00B66C53"/>
    <w:rsid w:val="00B81310"/>
    <w:rsid w:val="00B853B1"/>
    <w:rsid w:val="00B96048"/>
    <w:rsid w:val="00BA1877"/>
    <w:rsid w:val="00BC7B4B"/>
    <w:rsid w:val="00BD1CAE"/>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EC20E2"/>
    <w:rsid w:val="07E34A3F"/>
    <w:rsid w:val="09420C01"/>
    <w:rsid w:val="0B0C1D12"/>
    <w:rsid w:val="0B47616D"/>
    <w:rsid w:val="11674266"/>
    <w:rsid w:val="13D65FBA"/>
    <w:rsid w:val="143D7A24"/>
    <w:rsid w:val="14765EED"/>
    <w:rsid w:val="14AF636D"/>
    <w:rsid w:val="150474D2"/>
    <w:rsid w:val="1AD734D7"/>
    <w:rsid w:val="1CCE22DB"/>
    <w:rsid w:val="1D7A26DD"/>
    <w:rsid w:val="1E421D2E"/>
    <w:rsid w:val="20672FDF"/>
    <w:rsid w:val="23F46EA8"/>
    <w:rsid w:val="23FB6523"/>
    <w:rsid w:val="24066BDB"/>
    <w:rsid w:val="27F82CDF"/>
    <w:rsid w:val="2B4900DC"/>
    <w:rsid w:val="2C245261"/>
    <w:rsid w:val="2E28703E"/>
    <w:rsid w:val="2EED207D"/>
    <w:rsid w:val="309612E7"/>
    <w:rsid w:val="30B402AF"/>
    <w:rsid w:val="3104090C"/>
    <w:rsid w:val="33A5650C"/>
    <w:rsid w:val="35500CBF"/>
    <w:rsid w:val="36372989"/>
    <w:rsid w:val="37A42A2A"/>
    <w:rsid w:val="37AF4365"/>
    <w:rsid w:val="3A824DB6"/>
    <w:rsid w:val="3C446528"/>
    <w:rsid w:val="3D141B20"/>
    <w:rsid w:val="3DD74805"/>
    <w:rsid w:val="3E0B5931"/>
    <w:rsid w:val="42B21FB1"/>
    <w:rsid w:val="43A62AD6"/>
    <w:rsid w:val="43AC2EA4"/>
    <w:rsid w:val="46CD3E3E"/>
    <w:rsid w:val="46F920D7"/>
    <w:rsid w:val="478F7ED7"/>
    <w:rsid w:val="481F6B1F"/>
    <w:rsid w:val="48E064A0"/>
    <w:rsid w:val="49A37EA2"/>
    <w:rsid w:val="4B4B2FA2"/>
    <w:rsid w:val="4B5C7602"/>
    <w:rsid w:val="4C3A4F26"/>
    <w:rsid w:val="4DEE0395"/>
    <w:rsid w:val="4F3D70A6"/>
    <w:rsid w:val="50084B0C"/>
    <w:rsid w:val="505C602E"/>
    <w:rsid w:val="50D0256E"/>
    <w:rsid w:val="52C928ED"/>
    <w:rsid w:val="53793538"/>
    <w:rsid w:val="54E22292"/>
    <w:rsid w:val="54FC3833"/>
    <w:rsid w:val="551E51E4"/>
    <w:rsid w:val="581E5623"/>
    <w:rsid w:val="586E0370"/>
    <w:rsid w:val="58DD72E9"/>
    <w:rsid w:val="5A04249F"/>
    <w:rsid w:val="5D5F28DD"/>
    <w:rsid w:val="5E6E102A"/>
    <w:rsid w:val="5FCC3F1F"/>
    <w:rsid w:val="68B27EEE"/>
    <w:rsid w:val="69C67F6C"/>
    <w:rsid w:val="6B8B6553"/>
    <w:rsid w:val="6CF509AA"/>
    <w:rsid w:val="6D9A218A"/>
    <w:rsid w:val="6EFC7023"/>
    <w:rsid w:val="702E553E"/>
    <w:rsid w:val="72FB2DC4"/>
    <w:rsid w:val="75520F44"/>
    <w:rsid w:val="75EE17D5"/>
    <w:rsid w:val="7778345E"/>
    <w:rsid w:val="78915BE9"/>
    <w:rsid w:val="79BF69E3"/>
    <w:rsid w:val="7BF57961"/>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kern w:val="0"/>
      <w:szCs w:val="24"/>
    </w:r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Document Map"/>
    <w:basedOn w:val="1"/>
    <w:link w:val="38"/>
    <w:autoRedefine/>
    <w:semiHidden/>
    <w:unhideWhenUsed/>
    <w:qFormat/>
    <w:uiPriority w:val="99"/>
    <w:rPr>
      <w:rFonts w:ascii="宋体"/>
      <w:sz w:val="18"/>
      <w:szCs w:val="18"/>
    </w:rPr>
  </w:style>
  <w:style w:type="paragraph" w:styleId="8">
    <w:name w:val="annotation text"/>
    <w:basedOn w:val="1"/>
    <w:autoRedefine/>
    <w:semiHidden/>
    <w:unhideWhenUsed/>
    <w:qFormat/>
    <w:uiPriority w:val="99"/>
    <w:pPr>
      <w:jc w:val="left"/>
    </w:pPr>
  </w:style>
  <w:style w:type="paragraph" w:styleId="9">
    <w:name w:val="Body Text Indent"/>
    <w:basedOn w:val="1"/>
    <w:link w:val="30"/>
    <w:autoRedefine/>
    <w:qFormat/>
    <w:uiPriority w:val="0"/>
    <w:pPr>
      <w:spacing w:line="700" w:lineRule="exact"/>
      <w:ind w:left="960"/>
    </w:pPr>
    <w:rPr>
      <w:sz w:val="44"/>
    </w:rPr>
  </w:style>
  <w:style w:type="paragraph" w:styleId="10">
    <w:name w:val="Date"/>
    <w:basedOn w:val="1"/>
    <w:next w:val="1"/>
    <w:link w:val="37"/>
    <w:autoRedefine/>
    <w:qFormat/>
    <w:uiPriority w:val="0"/>
  </w:style>
  <w:style w:type="paragraph" w:styleId="11">
    <w:name w:val="Balloon Text"/>
    <w:basedOn w:val="1"/>
    <w:link w:val="31"/>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autoRedefine/>
    <w:qFormat/>
    <w:uiPriority w:val="39"/>
    <w:pPr>
      <w:tabs>
        <w:tab w:val="right" w:leader="dot" w:pos="8400"/>
      </w:tabs>
      <w:spacing w:line="440" w:lineRule="exact"/>
      <w:ind w:left="280" w:leftChars="100" w:right="-91" w:rightChars="-91"/>
    </w:p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w:basedOn w:val="2"/>
    <w:next w:val="1"/>
    <w:autoRedefine/>
    <w:qFormat/>
    <w:uiPriority w:val="99"/>
    <w:pPr>
      <w:spacing w:after="120" w:line="275" w:lineRule="atLeast"/>
      <w:textAlignment w:val="baseline"/>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customStyle="1" w:styleId="25">
    <w:name w:val="页眉 字符"/>
    <w:basedOn w:val="21"/>
    <w:link w:val="13"/>
    <w:autoRedefine/>
    <w:qFormat/>
    <w:uiPriority w:val="0"/>
    <w:rPr>
      <w:sz w:val="18"/>
      <w:szCs w:val="18"/>
    </w:rPr>
  </w:style>
  <w:style w:type="character" w:customStyle="1" w:styleId="26">
    <w:name w:val="页脚 字符"/>
    <w:basedOn w:val="21"/>
    <w:link w:val="12"/>
    <w:autoRedefine/>
    <w:qFormat/>
    <w:uiPriority w:val="99"/>
    <w:rPr>
      <w:sz w:val="18"/>
      <w:szCs w:val="18"/>
    </w:rPr>
  </w:style>
  <w:style w:type="character" w:customStyle="1" w:styleId="27">
    <w:name w:val="标题 1 字符"/>
    <w:basedOn w:val="21"/>
    <w:link w:val="3"/>
    <w:autoRedefine/>
    <w:qFormat/>
    <w:uiPriority w:val="9"/>
    <w:rPr>
      <w:rFonts w:ascii="Times New Roman" w:hAnsi="Times New Roman" w:eastAsia="宋体" w:cs="Times New Roman"/>
      <w:b/>
      <w:bCs/>
      <w:kern w:val="44"/>
      <w:sz w:val="44"/>
      <w:szCs w:val="44"/>
    </w:rPr>
  </w:style>
  <w:style w:type="character" w:customStyle="1" w:styleId="28">
    <w:name w:val="标题 2 字符"/>
    <w:basedOn w:val="21"/>
    <w:link w:val="4"/>
    <w:autoRedefine/>
    <w:qFormat/>
    <w:uiPriority w:val="9"/>
    <w:rPr>
      <w:rFonts w:asciiTheme="majorHAnsi" w:hAnsiTheme="majorHAnsi" w:eastAsiaTheme="majorEastAsia" w:cstheme="majorBidi"/>
      <w:b/>
      <w:bCs/>
      <w:sz w:val="32"/>
      <w:szCs w:val="32"/>
    </w:rPr>
  </w:style>
  <w:style w:type="character" w:customStyle="1" w:styleId="29">
    <w:name w:val="标题 3 字符"/>
    <w:basedOn w:val="21"/>
    <w:link w:val="5"/>
    <w:autoRedefine/>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9"/>
    <w:autoRedefine/>
    <w:qFormat/>
    <w:uiPriority w:val="0"/>
    <w:rPr>
      <w:rFonts w:ascii="Times New Roman" w:hAnsi="Times New Roman" w:eastAsia="宋体" w:cs="Times New Roman"/>
      <w:sz w:val="44"/>
      <w:szCs w:val="20"/>
    </w:rPr>
  </w:style>
  <w:style w:type="character" w:customStyle="1" w:styleId="31">
    <w:name w:val="批注框文本 字符"/>
    <w:basedOn w:val="21"/>
    <w:link w:val="11"/>
    <w:autoRedefine/>
    <w:semiHidden/>
    <w:qFormat/>
    <w:uiPriority w:val="99"/>
    <w:rPr>
      <w:rFonts w:ascii="Times New Roman" w:hAnsi="Times New Roman" w:eastAsia="宋体" w:cs="Times New Roman"/>
      <w:sz w:val="18"/>
      <w:szCs w:val="18"/>
    </w:rPr>
  </w:style>
  <w:style w:type="character" w:customStyle="1" w:styleId="32">
    <w:name w:val="正文文本_"/>
    <w:link w:val="33"/>
    <w:autoRedefine/>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日期 字符"/>
    <w:basedOn w:val="21"/>
    <w:link w:val="10"/>
    <w:autoRedefine/>
    <w:qFormat/>
    <w:uiPriority w:val="0"/>
    <w:rPr>
      <w:rFonts w:ascii="Times New Roman" w:hAnsi="Times New Roman" w:eastAsia="宋体" w:cs="Times New Roman"/>
      <w:sz w:val="28"/>
      <w:szCs w:val="20"/>
    </w:rPr>
  </w:style>
  <w:style w:type="character" w:customStyle="1" w:styleId="38">
    <w:name w:val="文档结构图 字符"/>
    <w:basedOn w:val="21"/>
    <w:link w:val="7"/>
    <w:autoRedefine/>
    <w:semiHidden/>
    <w:qFormat/>
    <w:uiPriority w:val="99"/>
    <w:rPr>
      <w:rFonts w:ascii="宋体" w:hAnsi="Times New Roman" w:eastAsia="宋体" w:cs="Times New Roman"/>
      <w:sz w:val="18"/>
      <w:szCs w:val="18"/>
    </w:rPr>
  </w:style>
  <w:style w:type="paragraph" w:customStyle="1" w:styleId="39">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autoRedefine/>
    <w:qFormat/>
    <w:uiPriority w:val="0"/>
    <w:pPr>
      <w:ind w:firstLine="420" w:firstLineChars="200"/>
    </w:pPr>
    <w:rPr>
      <w:kern w:val="0"/>
      <w:sz w:val="24"/>
      <w:szCs w:val="24"/>
    </w:rPr>
  </w:style>
  <w:style w:type="character" w:customStyle="1" w:styleId="41">
    <w:name w:val="font51"/>
    <w:basedOn w:val="2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465</Words>
  <Characters>2654</Characters>
  <Lines>22</Lines>
  <Paragraphs>6</Paragraphs>
  <TotalTime>5</TotalTime>
  <ScaleCrop>false</ScaleCrop>
  <LinksUpToDate>false</LinksUpToDate>
  <CharactersWithSpaces>3113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剑八</cp:lastModifiedBy>
  <cp:lastPrinted>2021-08-23T01:01:00Z</cp:lastPrinted>
  <dcterms:modified xsi:type="dcterms:W3CDTF">2024-02-29T08:15:16Z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8F4B10D301344F31B10E54B045C52AF5</vt:lpwstr>
  </property>
</Properties>
</file>