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48D60">
      <w:pPr>
        <w:snapToGrid w:val="0"/>
        <w:jc w:val="center"/>
        <w:outlineLvl w:val="0"/>
        <w:rPr>
          <w:rFonts w:eastAsia="Arial Unicode MS"/>
          <w:sz w:val="96"/>
          <w:szCs w:val="130"/>
        </w:rPr>
      </w:pPr>
    </w:p>
    <w:p w14:paraId="3455A319">
      <w:pPr>
        <w:snapToGrid w:val="0"/>
        <w:jc w:val="center"/>
        <w:outlineLvl w:val="0"/>
        <w:rPr>
          <w:rFonts w:eastAsia="Arial Unicode MS"/>
          <w:sz w:val="96"/>
          <w:szCs w:val="130"/>
        </w:rPr>
      </w:pPr>
    </w:p>
    <w:p w14:paraId="3D3FC955">
      <w:pPr>
        <w:snapToGrid w:val="0"/>
        <w:jc w:val="center"/>
        <w:outlineLvl w:val="0"/>
        <w:rPr>
          <w:rFonts w:eastAsia="Arial Unicode MS"/>
          <w:sz w:val="96"/>
          <w:szCs w:val="130"/>
        </w:rPr>
      </w:pPr>
    </w:p>
    <w:p w14:paraId="73C87195">
      <w:pPr>
        <w:snapToGrid w:val="0"/>
        <w:jc w:val="center"/>
        <w:outlineLvl w:val="0"/>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询 价 文 件</w:t>
      </w:r>
    </w:p>
    <w:p w14:paraId="63B0C2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3B34A42E">
      <w:pPr>
        <w:snapToGrid w:val="0"/>
        <w:jc w:val="center"/>
        <w:outlineLvl w:val="0"/>
        <w:rPr>
          <w:rFonts w:hint="eastAsia" w:eastAsia="Arial Unicode MS"/>
          <w:sz w:val="84"/>
          <w:szCs w:val="84"/>
        </w:rPr>
      </w:pPr>
    </w:p>
    <w:p w14:paraId="196C20FC">
      <w:pPr>
        <w:snapToGrid w:val="0"/>
        <w:jc w:val="center"/>
        <w:outlineLvl w:val="0"/>
        <w:rPr>
          <w:rFonts w:eastAsia="Arial Unicode MS"/>
          <w:sz w:val="44"/>
          <w:szCs w:val="44"/>
        </w:rPr>
      </w:pPr>
    </w:p>
    <w:p w14:paraId="44DE01D2">
      <w:pPr>
        <w:snapToGrid w:val="0"/>
        <w:jc w:val="center"/>
        <w:outlineLvl w:val="0"/>
        <w:rPr>
          <w:rFonts w:eastAsia="Arial Unicode MS"/>
          <w:sz w:val="96"/>
          <w:szCs w:val="130"/>
        </w:rPr>
      </w:pPr>
    </w:p>
    <w:p w14:paraId="216F2CF6">
      <w:pPr>
        <w:snapToGrid w:val="0"/>
        <w:outlineLvl w:val="0"/>
        <w:rPr>
          <w:rFonts w:ascii="仿宋_GB2312" w:eastAsia="仿宋_GB2312"/>
          <w:sz w:val="96"/>
          <w:szCs w:val="130"/>
          <w:u w:val="single"/>
        </w:rPr>
      </w:pPr>
      <w:r>
        <w:rPr>
          <w:rFonts w:hint="eastAsia" w:ascii="Arial Unicode MS" w:eastAsia="Arial Unicode MS"/>
          <w:sz w:val="44"/>
          <w:szCs w:val="44"/>
        </w:rPr>
        <w:t>项目名称：</w:t>
      </w:r>
      <w:r>
        <w:rPr>
          <w:rFonts w:hint="eastAsia" w:eastAsia="方正小标宋简体"/>
          <w:sz w:val="44"/>
          <w:szCs w:val="44"/>
          <w:u w:val="single"/>
        </w:rPr>
        <w:t xml:space="preserve"> </w:t>
      </w:r>
      <w:r>
        <w:rPr>
          <w:rFonts w:hint="eastAsia" w:eastAsia="方正小标宋简体"/>
          <w:sz w:val="44"/>
          <w:szCs w:val="44"/>
          <w:u w:val="single"/>
          <w:lang w:val="en-US" w:eastAsia="zh-CN"/>
        </w:rPr>
        <w:t>可移动无纸化会议系统</w:t>
      </w:r>
      <w:r>
        <w:rPr>
          <w:rFonts w:hint="eastAsia" w:eastAsia="方正小标宋简体"/>
          <w:sz w:val="44"/>
          <w:szCs w:val="44"/>
          <w:u w:val="single"/>
        </w:rPr>
        <w:t xml:space="preserve">  </w:t>
      </w:r>
      <w:r>
        <w:rPr>
          <w:rFonts w:hint="eastAsia" w:ascii="仿宋_GB2312" w:eastAsia="仿宋_GB2312"/>
          <w:w w:val="90"/>
          <w:sz w:val="36"/>
          <w:szCs w:val="36"/>
          <w:u w:val="single"/>
        </w:rPr>
        <w:t xml:space="preserve">  </w:t>
      </w:r>
    </w:p>
    <w:p w14:paraId="4EF30494">
      <w:pPr>
        <w:pStyle w:val="9"/>
        <w:snapToGrid w:val="0"/>
        <w:spacing w:line="240" w:lineRule="auto"/>
        <w:ind w:leftChars="343" w:firstLine="1540" w:firstLineChars="350"/>
        <w:outlineLvl w:val="0"/>
        <w:rPr>
          <w:rFonts w:eastAsia="Arial Unicode MS"/>
          <w:szCs w:val="44"/>
        </w:rPr>
      </w:pPr>
    </w:p>
    <w:p w14:paraId="0D81D980">
      <w:pPr>
        <w:snapToGrid w:val="0"/>
        <w:outlineLvl w:val="0"/>
        <w:rPr>
          <w:rFonts w:hint="default" w:eastAsia="方正小标宋简体"/>
          <w:w w:val="90"/>
          <w:sz w:val="36"/>
          <w:szCs w:val="36"/>
          <w:u w:val="single"/>
          <w:lang w:val="en-US" w:eastAsia="zh-CN"/>
        </w:rPr>
      </w:pPr>
      <w:r>
        <w:rPr>
          <w:rFonts w:hint="eastAsia" w:ascii="Arial Unicode MS" w:eastAsia="Arial Unicode MS"/>
          <w:sz w:val="44"/>
          <w:szCs w:val="44"/>
        </w:rPr>
        <w:t>采购单位：</w:t>
      </w:r>
      <w:r>
        <w:rPr>
          <w:rFonts w:hint="eastAsia" w:ascii="Arial Unicode MS" w:eastAsia="Arial Unicode MS"/>
          <w:sz w:val="44"/>
          <w:szCs w:val="44"/>
          <w:lang w:val="en-US" w:eastAsia="zh-CN"/>
        </w:rPr>
        <w:t xml:space="preserve"> </w:t>
      </w:r>
      <w:r>
        <w:rPr>
          <w:rFonts w:eastAsia="方正小标宋简体"/>
          <w:sz w:val="44"/>
          <w:szCs w:val="44"/>
          <w:u w:val="single"/>
        </w:rPr>
        <w:t>陆军军医大学</w:t>
      </w:r>
      <w:r>
        <w:rPr>
          <w:rFonts w:hint="eastAsia" w:eastAsia="方正小标宋简体"/>
          <w:sz w:val="44"/>
          <w:szCs w:val="44"/>
          <w:u w:val="single"/>
          <w:lang w:val="en-US" w:eastAsia="zh-CN"/>
        </w:rPr>
        <w:t>某单位</w:t>
      </w:r>
    </w:p>
    <w:p w14:paraId="12CA27B0">
      <w:pPr>
        <w:snapToGrid w:val="0"/>
        <w:ind w:left="2240" w:leftChars="800"/>
        <w:rPr>
          <w:rFonts w:eastAsia="Arial Unicode MS"/>
          <w:sz w:val="36"/>
          <w:szCs w:val="36"/>
          <w:u w:val="single"/>
        </w:rPr>
      </w:pPr>
    </w:p>
    <w:p w14:paraId="2961E109">
      <w:pPr>
        <w:snapToGrid w:val="0"/>
        <w:ind w:left="2240" w:leftChars="800"/>
        <w:rPr>
          <w:rFonts w:eastAsia="Arial Unicode MS"/>
          <w:sz w:val="44"/>
          <w:szCs w:val="44"/>
        </w:rPr>
      </w:pPr>
    </w:p>
    <w:p w14:paraId="11B3E32D">
      <w:pPr>
        <w:snapToGrid w:val="0"/>
        <w:jc w:val="center"/>
        <w:outlineLvl w:val="0"/>
        <w:rPr>
          <w:rFonts w:hint="eastAsia" w:ascii="方正小标宋简体" w:hAnsi="方正小标宋简体" w:eastAsia="方正小标宋简体" w:cs="方正小标宋简体"/>
          <w:sz w:val="96"/>
          <w:szCs w:val="130"/>
        </w:rPr>
      </w:pPr>
      <w:r>
        <w:rPr>
          <w:rFonts w:hint="eastAsia" w:ascii="方正小标宋简体" w:hAnsi="方正小标宋简体" w:eastAsia="方正小标宋简体" w:cs="方正小标宋简体"/>
          <w:sz w:val="44"/>
          <w:szCs w:val="44"/>
        </w:rPr>
        <w:t>二〇二四年</w:t>
      </w:r>
      <w:r>
        <w:rPr>
          <w:rFonts w:hint="eastAsia" w:ascii="方正小标宋简体" w:hAnsi="方正小标宋简体" w:eastAsia="方正小标宋简体" w:cs="方正小标宋简体"/>
          <w:sz w:val="44"/>
          <w:szCs w:val="44"/>
          <w:lang w:val="en-US" w:eastAsia="zh-CN"/>
        </w:rPr>
        <w:t>十</w:t>
      </w:r>
      <w:r>
        <w:rPr>
          <w:rFonts w:hint="eastAsia" w:ascii="方正小标宋简体" w:hAnsi="方正小标宋简体" w:eastAsia="方正小标宋简体" w:cs="方正小标宋简体"/>
          <w:sz w:val="44"/>
          <w:szCs w:val="44"/>
        </w:rPr>
        <w:t>月</w:t>
      </w:r>
    </w:p>
    <w:p w14:paraId="6D06D918">
      <w:pPr>
        <w:snapToGrid w:val="0"/>
        <w:rPr>
          <w:rFonts w:eastAsia="Arial Unicode MS"/>
          <w:sz w:val="44"/>
          <w:szCs w:val="44"/>
        </w:rPr>
      </w:pPr>
    </w:p>
    <w:p w14:paraId="53B1C116">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06E81DFF">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询价公告</w:t>
      </w:r>
    </w:p>
    <w:p w14:paraId="02E14D4F">
      <w:pPr>
        <w:adjustRightInd w:val="0"/>
        <w:snapToGrid w:val="0"/>
        <w:spacing w:line="480" w:lineRule="exact"/>
        <w:ind w:firstLine="560" w:firstLineChars="200"/>
        <w:rPr>
          <w:rFonts w:ascii="楷体_GB2312" w:hAnsi="楷体_GB2312" w:eastAsia="楷体_GB2312" w:cs="楷体_GB2312"/>
          <w:szCs w:val="28"/>
        </w:rPr>
      </w:pPr>
      <w:r>
        <w:rPr>
          <w:rFonts w:hint="eastAsia" w:ascii="仿宋_GB2312" w:hAnsi="仿宋_GB2312" w:eastAsia="仿宋_GB2312" w:cs="仿宋_GB2312"/>
          <w:color w:val="auto"/>
          <w:szCs w:val="28"/>
          <w:highlight w:val="none"/>
          <w:lang w:val="en-US" w:eastAsia="zh-CN"/>
        </w:rPr>
        <w:t>我部</w:t>
      </w:r>
      <w:r>
        <w:rPr>
          <w:rFonts w:hint="eastAsia" w:ascii="仿宋_GB2312" w:hAnsi="仿宋_GB2312" w:eastAsia="仿宋_GB2312" w:cs="仿宋_GB2312"/>
          <w:color w:val="auto"/>
          <w:szCs w:val="28"/>
          <w:highlight w:val="none"/>
        </w:rPr>
        <w:t>就以下项目进行询价采购，欢迎有资格的供应商参加该项目询价</w:t>
      </w:r>
      <w:r>
        <w:rPr>
          <w:rFonts w:hint="eastAsia" w:ascii="楷体_GB2312" w:hAnsi="楷体_GB2312" w:eastAsia="楷体_GB2312" w:cs="楷体_GB2312"/>
          <w:szCs w:val="28"/>
        </w:rPr>
        <w:t>。</w:t>
      </w:r>
    </w:p>
    <w:p w14:paraId="5872FC57">
      <w:pPr>
        <w:numPr>
          <w:ilvl w:val="0"/>
          <w:numId w:val="2"/>
        </w:numPr>
        <w:adjustRightInd w:val="0"/>
        <w:snapToGrid w:val="0"/>
        <w:spacing w:line="480" w:lineRule="exact"/>
        <w:ind w:left="0" w:firstLine="560" w:firstLineChars="200"/>
        <w:rPr>
          <w:rFonts w:ascii="仿宋_GB2312" w:hAnsi="仿宋_GB2312" w:eastAsia="仿宋_GB2312" w:cs="仿宋_GB2312"/>
          <w:szCs w:val="28"/>
          <w:u w:val="single"/>
        </w:rPr>
      </w:pPr>
      <w:r>
        <w:rPr>
          <w:rFonts w:hint="eastAsia" w:ascii="黑体" w:hAnsi="黑体" w:eastAsia="黑体" w:cs="黑体"/>
          <w:szCs w:val="28"/>
        </w:rPr>
        <w:t>项目名称</w:t>
      </w:r>
      <w:r>
        <w:rPr>
          <w:rFonts w:hint="eastAsia" w:ascii="黑体" w:hAnsi="黑体" w:eastAsia="黑体" w:cs="黑体"/>
          <w:szCs w:val="28"/>
          <w:lang w:eastAsia="zh-CN"/>
        </w:rPr>
        <w:t>：</w:t>
      </w:r>
      <w:r>
        <w:rPr>
          <w:rFonts w:hint="eastAsia" w:ascii="仿宋_GB2312" w:hAnsi="仿宋_GB2312" w:eastAsia="仿宋_GB2312" w:cs="仿宋_GB2312"/>
          <w:color w:val="auto"/>
          <w:sz w:val="28"/>
          <w:szCs w:val="28"/>
          <w:u w:val="single"/>
          <w:lang w:val="en-US" w:eastAsia="zh-CN"/>
        </w:rPr>
        <w:t xml:space="preserve">    可移动无纸化会议系统   </w:t>
      </w:r>
      <w:r>
        <w:rPr>
          <w:rFonts w:hint="eastAsia" w:ascii="仿宋_GB2312" w:hAnsi="仿宋_GB2312" w:eastAsia="仿宋_GB2312" w:cs="仿宋_GB2312"/>
          <w:color w:val="auto"/>
          <w:sz w:val="28"/>
          <w:szCs w:val="28"/>
          <w:u w:val="single"/>
          <w:lang w:val="en-US" w:eastAsia="zh-CN"/>
        </w:rPr>
        <w:tab/>
      </w:r>
    </w:p>
    <w:p w14:paraId="30BA5AE2">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项目编号：</w:t>
      </w:r>
      <w:r>
        <w:rPr>
          <w:rFonts w:hint="eastAsia" w:ascii="仿宋_GB2312" w:hAnsi="仿宋_GB2312" w:eastAsia="仿宋_GB2312" w:cs="仿宋_GB2312"/>
          <w:color w:val="auto"/>
          <w:sz w:val="28"/>
          <w:szCs w:val="28"/>
          <w:u w:val="single"/>
          <w:lang w:val="en-US" w:eastAsia="zh-CN"/>
        </w:rPr>
        <w:t xml:space="preserve">    2024-JLJYAD-WZ</w:t>
      </w:r>
      <w:bookmarkStart w:id="0" w:name="_GoBack"/>
      <w:bookmarkEnd w:id="0"/>
      <w:r>
        <w:rPr>
          <w:rFonts w:hint="eastAsia" w:ascii="仿宋_GB2312" w:hAnsi="仿宋_GB2312" w:eastAsia="仿宋_GB2312" w:cs="仿宋_GB2312"/>
          <w:color w:val="auto"/>
          <w:sz w:val="28"/>
          <w:szCs w:val="28"/>
          <w:u w:val="single"/>
          <w:lang w:val="en-US" w:eastAsia="zh-CN"/>
        </w:rPr>
        <w:t xml:space="preserve">-009  </w:t>
      </w:r>
    </w:p>
    <w:p w14:paraId="39326E18">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项目预算</w:t>
      </w:r>
      <w:r>
        <w:rPr>
          <w:rFonts w:hint="eastAsia" w:ascii="黑体" w:hAnsi="黑体" w:eastAsia="黑体" w:cs="黑体"/>
          <w:szCs w:val="28"/>
          <w:lang w:eastAsia="zh-CN"/>
        </w:rPr>
        <w:t>：</w:t>
      </w:r>
      <w:r>
        <w:rPr>
          <w:rFonts w:hint="eastAsia" w:ascii="仿宋_GB2312" w:hAnsi="仿宋_GB2312" w:eastAsia="仿宋_GB2312" w:cs="仿宋_GB2312"/>
          <w:color w:val="auto"/>
          <w:sz w:val="28"/>
          <w:szCs w:val="28"/>
          <w:u w:val="single"/>
          <w:lang w:val="en-US" w:eastAsia="zh-CN"/>
        </w:rPr>
        <w:t xml:space="preserve">    187320元           </w:t>
      </w:r>
    </w:p>
    <w:p w14:paraId="6E224951">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1F9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781A970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4" w:type="pct"/>
          </w:tcPr>
          <w:p w14:paraId="6C22ED66">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1666" w:type="pct"/>
          </w:tcPr>
          <w:p w14:paraId="4097A4A5">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833" w:type="pct"/>
          </w:tcPr>
          <w:p w14:paraId="20E66AB9">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836" w:type="pct"/>
          </w:tcPr>
          <w:p w14:paraId="6D82B5C1">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14:paraId="6F9E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08FFD779">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4" w:type="pct"/>
            <w:vAlign w:val="center"/>
          </w:tcPr>
          <w:p w14:paraId="09FA7AE2">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可移动无纸化会议系统</w:t>
            </w:r>
            <w:r>
              <w:rPr>
                <w:rFonts w:hint="eastAsia" w:ascii="仿宋_GB2312" w:hAnsi="仿宋_GB2312" w:eastAsia="仿宋_GB2312" w:cs="仿宋_GB2312"/>
                <w:sz w:val="24"/>
                <w:szCs w:val="24"/>
              </w:rPr>
              <w:t xml:space="preserve"> </w:t>
            </w:r>
          </w:p>
        </w:tc>
        <w:tc>
          <w:tcPr>
            <w:tcW w:w="1666" w:type="pct"/>
            <w:vAlign w:val="center"/>
          </w:tcPr>
          <w:p w14:paraId="5BC5456D">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833" w:type="pct"/>
            <w:vAlign w:val="center"/>
          </w:tcPr>
          <w:p w14:paraId="269167FB">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36" w:type="pct"/>
            <w:vAlign w:val="center"/>
          </w:tcPr>
          <w:p w14:paraId="70DB1921">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套</w:t>
            </w:r>
          </w:p>
        </w:tc>
      </w:tr>
    </w:tbl>
    <w:p w14:paraId="59195818">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报价方资格条件</w:t>
      </w:r>
    </w:p>
    <w:p w14:paraId="3D4BF5BB">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（一）符合《中华人民共和国政府采购法》第二十二条资格条件：</w:t>
      </w:r>
    </w:p>
    <w:p w14:paraId="3345A358">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1.具有独立承担民事责任的能力；</w:t>
      </w:r>
    </w:p>
    <w:p w14:paraId="0057DF07">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2.具有良好的商业信誉和健全的财务会计制度；</w:t>
      </w:r>
    </w:p>
    <w:p w14:paraId="5D5EDFCF">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3.具有履行合同所必需的设备和专业技术能力；</w:t>
      </w:r>
    </w:p>
    <w:p w14:paraId="606B81D2">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4.有依法缴纳税收和社会保障资金的良好记录；</w:t>
      </w:r>
    </w:p>
    <w:p w14:paraId="32F6669A">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5.参加政府采购活动前3年内，在经营活动中没有重大违法记录；</w:t>
      </w:r>
    </w:p>
    <w:p w14:paraId="4DEDB1FB">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6.法律、行政法规规定的其他条件。</w:t>
      </w:r>
    </w:p>
    <w:p w14:paraId="01EEF08D">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（二）特定资格条件</w:t>
      </w:r>
    </w:p>
    <w:p w14:paraId="6BF122CF">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3A6DF731">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2.本项目不接受联合体报价。</w:t>
      </w:r>
    </w:p>
    <w:p w14:paraId="13695502">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7F7201CB">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参加报价供应商必须满足资格要求中的所有条款，否则其报价将被拒绝。</w:t>
      </w:r>
    </w:p>
    <w:p w14:paraId="512AEA3F">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40487004">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（一）询价文件申领时间：自公告发布之日起至2024年</w:t>
      </w:r>
      <w:r>
        <w:rPr>
          <w:rFonts w:hint="eastAsia" w:ascii="仿宋_GB2312" w:hAnsi="仿宋_GB2312" w:eastAsia="仿宋_GB2312" w:cs="仿宋_GB2312"/>
          <w:color w:val="auto"/>
          <w:szCs w:val="28"/>
          <w:highlight w:val="none"/>
          <w:lang w:val="en-US" w:eastAsia="zh-CN"/>
        </w:rPr>
        <w:t>11</w:t>
      </w:r>
      <w:r>
        <w:rPr>
          <w:rFonts w:hint="eastAsia" w:ascii="仿宋_GB2312" w:hAnsi="仿宋_GB2312" w:eastAsia="仿宋_GB2312" w:cs="仿宋_GB2312"/>
          <w:color w:val="auto"/>
          <w:szCs w:val="28"/>
          <w:highlight w:val="none"/>
        </w:rPr>
        <w:t>月</w:t>
      </w:r>
      <w:r>
        <w:rPr>
          <w:rFonts w:hint="eastAsia" w:ascii="仿宋_GB2312" w:hAnsi="仿宋_GB2312" w:eastAsia="仿宋_GB2312" w:cs="仿宋_GB2312"/>
          <w:color w:val="auto"/>
          <w:szCs w:val="28"/>
          <w:highlight w:val="none"/>
          <w:lang w:val="en-US" w:eastAsia="zh-CN"/>
        </w:rPr>
        <w:t>6</w:t>
      </w:r>
      <w:r>
        <w:rPr>
          <w:rFonts w:hint="eastAsia" w:ascii="仿宋_GB2312" w:hAnsi="仿宋_GB2312" w:eastAsia="仿宋_GB2312" w:cs="仿宋_GB2312"/>
          <w:color w:val="auto"/>
          <w:szCs w:val="28"/>
          <w:highlight w:val="none"/>
        </w:rPr>
        <w:t>日</w:t>
      </w:r>
    </w:p>
    <w:p w14:paraId="1007AB32">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（二）询价文件申领方式：同询价公告一并挂网，自行下载。</w:t>
      </w:r>
    </w:p>
    <w:p w14:paraId="11C701C5">
      <w:pPr>
        <w:numPr>
          <w:ilvl w:val="0"/>
          <w:numId w:val="2"/>
        </w:numPr>
        <w:adjustRightInd w:val="0"/>
        <w:snapToGrid w:val="0"/>
        <w:spacing w:line="480" w:lineRule="exact"/>
        <w:ind w:left="0" w:firstLine="560" w:firstLineChars="200"/>
        <w:rPr>
          <w:rFonts w:ascii="黑体" w:hAnsi="黑体" w:eastAsia="黑体" w:cs="黑体"/>
          <w:color w:val="auto"/>
          <w:szCs w:val="28"/>
          <w:highlight w:val="none"/>
        </w:rPr>
      </w:pPr>
      <w:r>
        <w:rPr>
          <w:rFonts w:hint="eastAsia" w:ascii="黑体" w:hAnsi="黑体" w:eastAsia="黑体" w:cs="黑体"/>
          <w:color w:val="auto"/>
          <w:szCs w:val="28"/>
          <w:highlight w:val="none"/>
        </w:rPr>
        <w:t>报价文件递交：</w:t>
      </w:r>
    </w:p>
    <w:p w14:paraId="6834ECD7">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（一）报价文件递交截止时间：2024年</w:t>
      </w:r>
      <w:r>
        <w:rPr>
          <w:rFonts w:hint="eastAsia" w:ascii="仿宋_GB2312" w:hAnsi="仿宋_GB2312" w:eastAsia="仿宋_GB2312" w:cs="仿宋_GB2312"/>
          <w:color w:val="auto"/>
          <w:szCs w:val="28"/>
          <w:highlight w:val="none"/>
          <w:lang w:val="en-US" w:eastAsia="zh-CN"/>
        </w:rPr>
        <w:t>11</w:t>
      </w:r>
      <w:r>
        <w:rPr>
          <w:rFonts w:hint="eastAsia" w:ascii="仿宋_GB2312" w:hAnsi="仿宋_GB2312" w:eastAsia="仿宋_GB2312" w:cs="仿宋_GB2312"/>
          <w:color w:val="auto"/>
          <w:szCs w:val="28"/>
          <w:highlight w:val="none"/>
        </w:rPr>
        <w:t>月</w:t>
      </w:r>
      <w:r>
        <w:rPr>
          <w:rFonts w:hint="eastAsia" w:ascii="仿宋_GB2312" w:hAnsi="仿宋_GB2312" w:eastAsia="仿宋_GB2312" w:cs="仿宋_GB2312"/>
          <w:color w:val="auto"/>
          <w:szCs w:val="28"/>
          <w:highlight w:val="none"/>
          <w:lang w:val="en-US" w:eastAsia="zh-CN"/>
        </w:rPr>
        <w:t>8</w:t>
      </w:r>
      <w:r>
        <w:rPr>
          <w:rFonts w:hint="eastAsia" w:ascii="仿宋_GB2312" w:hAnsi="仿宋_GB2312" w:eastAsia="仿宋_GB2312" w:cs="仿宋_GB2312"/>
          <w:color w:val="auto"/>
          <w:szCs w:val="28"/>
          <w:highlight w:val="none"/>
        </w:rPr>
        <w:t>日18时00分</w:t>
      </w:r>
    </w:p>
    <w:p w14:paraId="7991CFFF">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（二）报价文件递交要求：签字盖章密封递交。</w:t>
      </w:r>
    </w:p>
    <w:p w14:paraId="37B73531">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（三）报价文件递交地址：重庆市沙坪坝区</w:t>
      </w:r>
    </w:p>
    <w:p w14:paraId="682DE939">
      <w:pPr>
        <w:numPr>
          <w:ilvl w:val="0"/>
          <w:numId w:val="2"/>
        </w:numPr>
        <w:adjustRightInd w:val="0"/>
        <w:snapToGrid w:val="0"/>
        <w:spacing w:line="480" w:lineRule="exact"/>
        <w:ind w:left="0" w:firstLine="560" w:firstLineChars="200"/>
        <w:rPr>
          <w:rFonts w:ascii="黑体" w:hAnsi="黑体" w:eastAsia="黑体" w:cs="黑体"/>
          <w:color w:val="auto"/>
          <w:szCs w:val="28"/>
          <w:highlight w:val="none"/>
        </w:rPr>
      </w:pPr>
      <w:r>
        <w:rPr>
          <w:rFonts w:hint="eastAsia" w:ascii="黑体" w:hAnsi="黑体" w:eastAsia="黑体" w:cs="黑体"/>
          <w:color w:val="auto"/>
          <w:szCs w:val="28"/>
          <w:highlight w:val="none"/>
        </w:rPr>
        <w:t>联系方式：</w:t>
      </w:r>
    </w:p>
    <w:p w14:paraId="0B5A01AD">
      <w:pPr>
        <w:adjustRightInd w:val="0"/>
        <w:snapToGrid w:val="0"/>
        <w:spacing w:line="480" w:lineRule="exact"/>
        <w:ind w:firstLine="560" w:firstLineChars="200"/>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联 系 人：</w:t>
      </w:r>
      <w:r>
        <w:rPr>
          <w:rFonts w:hint="eastAsia" w:ascii="仿宋_GB2312" w:hAnsi="仿宋_GB2312" w:eastAsia="仿宋_GB2312" w:cs="仿宋_GB2312"/>
          <w:color w:val="auto"/>
          <w:szCs w:val="28"/>
          <w:highlight w:val="none"/>
          <w:u w:val="single"/>
        </w:rPr>
        <w:t xml:space="preserve">  </w:t>
      </w:r>
      <w:r>
        <w:rPr>
          <w:rFonts w:hint="eastAsia" w:ascii="仿宋_GB2312" w:hAnsi="仿宋_GB2312" w:eastAsia="仿宋_GB2312" w:cs="仿宋_GB2312"/>
          <w:color w:val="auto"/>
          <w:szCs w:val="28"/>
          <w:highlight w:val="none"/>
          <w:u w:val="single"/>
          <w:lang w:val="en-US" w:eastAsia="zh-CN"/>
        </w:rPr>
        <w:t>潘老师</w:t>
      </w:r>
      <w:r>
        <w:rPr>
          <w:rFonts w:hint="eastAsia" w:ascii="仿宋_GB2312" w:hAnsi="仿宋_GB2312" w:eastAsia="仿宋_GB2312" w:cs="仿宋_GB2312"/>
          <w:color w:val="auto"/>
          <w:szCs w:val="28"/>
          <w:highlight w:val="none"/>
          <w:u w:val="single"/>
        </w:rPr>
        <w:t xml:space="preserve"> </w:t>
      </w:r>
      <w:r>
        <w:rPr>
          <w:rFonts w:hint="eastAsia" w:ascii="仿宋_GB2312" w:hAnsi="仿宋_GB2312" w:eastAsia="仿宋_GB2312" w:cs="仿宋_GB2312"/>
          <w:color w:val="auto"/>
          <w:szCs w:val="28"/>
          <w:highlight w:val="none"/>
          <w:u w:val="single"/>
          <w:lang w:val="en-US" w:eastAsia="zh-CN"/>
        </w:rPr>
        <w:t xml:space="preserve"> </w:t>
      </w:r>
      <w:r>
        <w:rPr>
          <w:rFonts w:hint="eastAsia" w:ascii="仿宋_GB2312" w:hAnsi="仿宋_GB2312" w:eastAsia="仿宋_GB2312" w:cs="仿宋_GB2312"/>
          <w:color w:val="auto"/>
          <w:szCs w:val="28"/>
          <w:highlight w:val="none"/>
          <w:u w:val="single"/>
        </w:rPr>
        <w:t xml:space="preserve">  </w:t>
      </w:r>
    </w:p>
    <w:p w14:paraId="363E6294">
      <w:pPr>
        <w:pStyle w:val="19"/>
        <w:snapToGrid w:val="0"/>
        <w:spacing w:after="0" w:line="480" w:lineRule="exact"/>
        <w:ind w:firstLine="560" w:firstLineChars="200"/>
        <w:rPr>
          <w:rFonts w:hint="default" w:ascii="仿宋_GB2312" w:hAnsi="仿宋_GB2312" w:eastAsia="仿宋_GB2312" w:cs="仿宋_GB2312"/>
          <w:color w:val="auto"/>
          <w:szCs w:val="28"/>
          <w:highlight w:val="none"/>
          <w:u w:val="single"/>
          <w:lang w:val="en-US" w:eastAsia="zh-CN"/>
        </w:rPr>
      </w:pPr>
      <w:r>
        <w:rPr>
          <w:rFonts w:hint="eastAsia" w:ascii="仿宋_GB2312" w:hAnsi="仿宋_GB2312" w:eastAsia="仿宋_GB2312" w:cs="仿宋_GB2312"/>
          <w:color w:val="auto"/>
          <w:kern w:val="2"/>
          <w:szCs w:val="28"/>
          <w:highlight w:val="none"/>
        </w:rPr>
        <w:t>联系电话：</w:t>
      </w:r>
      <w:r>
        <w:rPr>
          <w:rFonts w:hint="eastAsia" w:ascii="仿宋_GB2312" w:hAnsi="仿宋_GB2312" w:eastAsia="仿宋_GB2312" w:cs="仿宋_GB2312"/>
          <w:color w:val="auto"/>
          <w:kern w:val="2"/>
          <w:szCs w:val="28"/>
          <w:highlight w:val="none"/>
          <w:u w:val="single"/>
          <w:lang w:val="en-US" w:eastAsia="zh-CN"/>
        </w:rPr>
        <w:t xml:space="preserve">13330248717 </w:t>
      </w:r>
    </w:p>
    <w:p w14:paraId="2305EB47">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14:paraId="08FA195B">
      <w:pPr>
        <w:numPr>
          <w:ilvl w:val="0"/>
          <w:numId w:val="3"/>
        </w:numPr>
        <w:adjustRightInd w:val="0"/>
        <w:snapToGrid w:val="0"/>
        <w:spacing w:line="480" w:lineRule="exact"/>
        <w:ind w:left="0" w:firstLine="640" w:firstLineChars="200"/>
        <w:rPr>
          <w:rFonts w:hint="eastAsia" w:ascii="黑体" w:hAnsi="黑体" w:eastAsia="黑体" w:cs="Times New Roman"/>
          <w:b w:val="0"/>
          <w:bCs w:val="0"/>
          <w:kern w:val="44"/>
          <w:sz w:val="32"/>
          <w:szCs w:val="32"/>
          <w:lang w:val="en-US" w:eastAsia="zh-CN" w:bidi="ar-SA"/>
        </w:rPr>
      </w:pPr>
      <w:r>
        <w:rPr>
          <w:rFonts w:hint="eastAsia" w:ascii="黑体" w:hAnsi="黑体" w:eastAsia="黑体" w:cs="Times New Roman"/>
          <w:b w:val="0"/>
          <w:bCs w:val="0"/>
          <w:kern w:val="44"/>
          <w:sz w:val="32"/>
          <w:szCs w:val="32"/>
          <w:lang w:val="en-US" w:eastAsia="zh-CN" w:bidi="ar-SA"/>
        </w:rPr>
        <w:t>采购需求一览表</w:t>
      </w:r>
    </w:p>
    <w:tbl>
      <w:tblPr>
        <w:tblStyle w:val="20"/>
        <w:tblW w:w="5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565"/>
        <w:gridCol w:w="1662"/>
        <w:gridCol w:w="1412"/>
        <w:gridCol w:w="1917"/>
      </w:tblGrid>
      <w:tr w14:paraId="04F0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6" w:type="pct"/>
            <w:vAlign w:val="center"/>
          </w:tcPr>
          <w:p w14:paraId="1870E0A1">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426" w:type="pct"/>
            <w:vAlign w:val="center"/>
          </w:tcPr>
          <w:p w14:paraId="021B5375">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24" w:type="pct"/>
            <w:vAlign w:val="center"/>
          </w:tcPr>
          <w:p w14:paraId="6951ACB3">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785" w:type="pct"/>
            <w:vAlign w:val="center"/>
          </w:tcPr>
          <w:p w14:paraId="439CD173">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066" w:type="pct"/>
            <w:vAlign w:val="center"/>
          </w:tcPr>
          <w:p w14:paraId="385AB8B0">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4D63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6" w:type="pct"/>
            <w:vAlign w:val="center"/>
          </w:tcPr>
          <w:p w14:paraId="168DFEBB">
            <w:pPr>
              <w:pStyle w:val="5"/>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2565" w:type="dxa"/>
            <w:vAlign w:val="center"/>
          </w:tcPr>
          <w:p w14:paraId="6B8CEEF0">
            <w:pPr>
              <w:pStyle w:val="9"/>
              <w:spacing w:line="240" w:lineRule="atLeast"/>
              <w:ind w:left="0"/>
              <w:jc w:val="center"/>
              <w:outlineLvl w:val="0"/>
              <w:rPr>
                <w:rFonts w:hint="default" w:eastAsiaTheme="minorEastAsia"/>
                <w:sz w:val="21"/>
                <w:szCs w:val="21"/>
                <w:lang w:val="en-US" w:eastAsia="zh-CN"/>
              </w:rPr>
            </w:pPr>
            <w:r>
              <w:rPr>
                <w:rFonts w:hint="eastAsia" w:eastAsiaTheme="minorEastAsia"/>
                <w:sz w:val="21"/>
                <w:szCs w:val="21"/>
                <w:lang w:val="en-US" w:eastAsia="zh-CN"/>
              </w:rPr>
              <w:t>可移动无纸化会议系统</w:t>
            </w:r>
          </w:p>
        </w:tc>
        <w:tc>
          <w:tcPr>
            <w:tcW w:w="1662" w:type="dxa"/>
            <w:vAlign w:val="center"/>
          </w:tcPr>
          <w:p w14:paraId="013A7180">
            <w:pPr>
              <w:pStyle w:val="5"/>
              <w:spacing w:line="400" w:lineRule="exact"/>
              <w:ind w:firstLine="0"/>
              <w:jc w:val="center"/>
              <w:outlineLvl w:val="0"/>
              <w:rPr>
                <w:rFonts w:eastAsiaTheme="minorEastAsia"/>
                <w:sz w:val="21"/>
                <w:szCs w:val="21"/>
              </w:rPr>
            </w:pPr>
            <w:r>
              <w:rPr>
                <w:rFonts w:hint="eastAsia" w:eastAsiaTheme="minorEastAsia"/>
                <w:sz w:val="21"/>
                <w:szCs w:val="21"/>
              </w:rPr>
              <w:t>套</w:t>
            </w:r>
          </w:p>
        </w:tc>
        <w:tc>
          <w:tcPr>
            <w:tcW w:w="1412" w:type="dxa"/>
            <w:vAlign w:val="center"/>
          </w:tcPr>
          <w:p w14:paraId="1996D7C4">
            <w:pPr>
              <w:pStyle w:val="5"/>
              <w:spacing w:line="400" w:lineRule="exact"/>
              <w:ind w:firstLine="0"/>
              <w:jc w:val="center"/>
              <w:outlineLvl w:val="0"/>
              <w:rPr>
                <w:rFonts w:eastAsiaTheme="minorEastAsia"/>
                <w:sz w:val="21"/>
                <w:szCs w:val="21"/>
              </w:rPr>
            </w:pPr>
            <w:r>
              <w:rPr>
                <w:rFonts w:hint="eastAsia" w:eastAsiaTheme="minorEastAsia"/>
                <w:sz w:val="21"/>
                <w:szCs w:val="21"/>
              </w:rPr>
              <w:t>1</w:t>
            </w:r>
          </w:p>
        </w:tc>
        <w:tc>
          <w:tcPr>
            <w:tcW w:w="1066" w:type="pct"/>
            <w:vAlign w:val="center"/>
          </w:tcPr>
          <w:p w14:paraId="341ED457">
            <w:pPr>
              <w:pStyle w:val="5"/>
              <w:spacing w:line="400" w:lineRule="exact"/>
              <w:ind w:firstLine="0"/>
              <w:jc w:val="center"/>
              <w:outlineLvl w:val="0"/>
              <w:rPr>
                <w:rFonts w:eastAsiaTheme="minorEastAsia"/>
                <w:sz w:val="21"/>
                <w:szCs w:val="21"/>
              </w:rPr>
            </w:pPr>
          </w:p>
        </w:tc>
      </w:tr>
    </w:tbl>
    <w:p w14:paraId="66F6D279">
      <w:pPr>
        <w:numPr>
          <w:ilvl w:val="0"/>
          <w:numId w:val="3"/>
        </w:numPr>
        <w:adjustRightInd w:val="0"/>
        <w:snapToGrid w:val="0"/>
        <w:spacing w:line="480" w:lineRule="exact"/>
        <w:ind w:left="0" w:firstLine="640" w:firstLineChars="200"/>
        <w:rPr>
          <w:rFonts w:hint="eastAsia" w:ascii="黑体" w:hAnsi="黑体" w:eastAsia="黑体" w:cs="Times New Roman"/>
          <w:b w:val="0"/>
          <w:bCs w:val="0"/>
          <w:kern w:val="44"/>
          <w:sz w:val="32"/>
          <w:szCs w:val="32"/>
          <w:lang w:val="en-US" w:eastAsia="zh-CN" w:bidi="ar-SA"/>
        </w:rPr>
      </w:pPr>
      <w:r>
        <w:rPr>
          <w:rFonts w:hint="eastAsia" w:ascii="黑体" w:hAnsi="黑体" w:eastAsia="黑体" w:cs="Times New Roman"/>
          <w:b w:val="0"/>
          <w:bCs w:val="0"/>
          <w:kern w:val="44"/>
          <w:sz w:val="32"/>
          <w:szCs w:val="32"/>
          <w:lang w:val="en-US" w:eastAsia="zh-CN" w:bidi="ar-SA"/>
        </w:rPr>
        <w:t>技术需求</w:t>
      </w:r>
    </w:p>
    <w:p w14:paraId="6C20BA11">
      <w:pPr>
        <w:spacing w:line="579" w:lineRule="exact"/>
        <w:ind w:firstLine="640" w:firstLineChars="200"/>
        <w:jc w:val="center"/>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lang w:val="en-US" w:eastAsia="zh-CN"/>
        </w:rPr>
        <w:t>可移动无纸化会议系统</w:t>
      </w:r>
      <w:r>
        <w:rPr>
          <w:rFonts w:hint="eastAsia" w:ascii="仿宋_GB2312" w:hAnsi="宋体" w:eastAsia="仿宋_GB2312" w:cs="Times New Roman"/>
          <w:kern w:val="0"/>
          <w:sz w:val="32"/>
          <w:szCs w:val="32"/>
        </w:rPr>
        <w:t>技术参数表</w:t>
      </w:r>
    </w:p>
    <w:tbl>
      <w:tblPr>
        <w:tblStyle w:val="20"/>
        <w:tblpPr w:leftFromText="180" w:rightFromText="180" w:vertAnchor="text" w:horzAnchor="page" w:tblpX="1628" w:tblpY="513"/>
        <w:tblOverlap w:val="never"/>
        <w:tblW w:w="8864" w:type="dxa"/>
        <w:tblInd w:w="0" w:type="dxa"/>
        <w:tblLayout w:type="fixed"/>
        <w:tblCellMar>
          <w:top w:w="0" w:type="dxa"/>
          <w:left w:w="108" w:type="dxa"/>
          <w:bottom w:w="0" w:type="dxa"/>
          <w:right w:w="108" w:type="dxa"/>
        </w:tblCellMar>
      </w:tblPr>
      <w:tblGrid>
        <w:gridCol w:w="993"/>
        <w:gridCol w:w="1774"/>
        <w:gridCol w:w="6097"/>
      </w:tblGrid>
      <w:tr w14:paraId="06528306">
        <w:tblPrEx>
          <w:tblCellMar>
            <w:top w:w="0" w:type="dxa"/>
            <w:left w:w="108" w:type="dxa"/>
            <w:bottom w:w="0" w:type="dxa"/>
            <w:right w:w="108" w:type="dxa"/>
          </w:tblCellMar>
        </w:tblPrEx>
        <w:trPr>
          <w:trHeight w:val="630" w:hRule="atLeast"/>
        </w:trPr>
        <w:tc>
          <w:tcPr>
            <w:tcW w:w="993" w:type="dxa"/>
            <w:tcBorders>
              <w:top w:val="single" w:color="auto" w:sz="8" w:space="0"/>
              <w:left w:val="single" w:color="auto" w:sz="8" w:space="0"/>
              <w:bottom w:val="single" w:color="auto" w:sz="4" w:space="0"/>
              <w:right w:val="single" w:color="auto" w:sz="4" w:space="0"/>
            </w:tcBorders>
            <w:vAlign w:val="center"/>
          </w:tcPr>
          <w:p w14:paraId="6D097ADD">
            <w:pPr>
              <w:keepNext w:val="0"/>
              <w:keepLines w:val="0"/>
              <w:widowControl/>
              <w:suppressLineNumbers w:val="0"/>
              <w:jc w:val="center"/>
              <w:textAlignment w:val="center"/>
              <w:rPr>
                <w:rFonts w:ascii="宋体" w:hAnsi="宋体" w:cs="宋体"/>
                <w:b/>
                <w:sz w:val="21"/>
                <w:szCs w:val="21"/>
              </w:rPr>
            </w:pPr>
            <w:r>
              <w:rPr>
                <w:rFonts w:hint="eastAsia" w:ascii="宋体" w:hAnsi="宋体" w:eastAsia="宋体" w:cs="宋体"/>
                <w:b/>
                <w:bCs/>
                <w:i w:val="0"/>
                <w:iCs w:val="0"/>
                <w:color w:val="000000"/>
                <w:sz w:val="22"/>
                <w:szCs w:val="22"/>
                <w:u w:val="none"/>
                <w:lang w:val="en-US" w:eastAsia="zh-CN"/>
              </w:rPr>
              <w:t>序号</w:t>
            </w:r>
          </w:p>
        </w:tc>
        <w:tc>
          <w:tcPr>
            <w:tcW w:w="1774" w:type="dxa"/>
            <w:tcBorders>
              <w:top w:val="single" w:color="auto" w:sz="8" w:space="0"/>
              <w:left w:val="nil"/>
              <w:bottom w:val="single" w:color="auto" w:sz="4" w:space="0"/>
              <w:right w:val="single" w:color="auto" w:sz="4" w:space="0"/>
            </w:tcBorders>
            <w:vAlign w:val="center"/>
          </w:tcPr>
          <w:p w14:paraId="7E82CAE5">
            <w:pPr>
              <w:keepNext w:val="0"/>
              <w:keepLines w:val="0"/>
              <w:widowControl/>
              <w:suppressLineNumbers w:val="0"/>
              <w:jc w:val="center"/>
              <w:textAlignment w:val="center"/>
              <w:rPr>
                <w:rFonts w:ascii="宋体" w:hAnsi="宋体" w:cs="宋体"/>
                <w:b/>
                <w:sz w:val="21"/>
                <w:szCs w:val="21"/>
              </w:rPr>
            </w:pPr>
            <w:r>
              <w:rPr>
                <w:rFonts w:hint="eastAsia" w:ascii="宋体" w:hAnsi="宋体" w:eastAsia="宋体" w:cs="宋体"/>
                <w:b/>
                <w:bCs/>
                <w:i w:val="0"/>
                <w:iCs w:val="0"/>
                <w:color w:val="000000"/>
                <w:kern w:val="0"/>
                <w:sz w:val="22"/>
                <w:szCs w:val="22"/>
                <w:u w:val="none"/>
                <w:lang w:val="en-US" w:eastAsia="zh-CN" w:bidi="ar"/>
              </w:rPr>
              <w:t>名称</w:t>
            </w:r>
          </w:p>
        </w:tc>
        <w:tc>
          <w:tcPr>
            <w:tcW w:w="6097" w:type="dxa"/>
            <w:tcBorders>
              <w:top w:val="single" w:color="auto" w:sz="8" w:space="0"/>
              <w:left w:val="nil"/>
              <w:bottom w:val="single" w:color="auto" w:sz="4" w:space="0"/>
              <w:right w:val="single" w:color="auto" w:sz="4" w:space="0"/>
            </w:tcBorders>
            <w:vAlign w:val="center"/>
          </w:tcPr>
          <w:p w14:paraId="69C66746">
            <w:pPr>
              <w:keepNext w:val="0"/>
              <w:keepLines w:val="0"/>
              <w:widowControl/>
              <w:suppressLineNumbers w:val="0"/>
              <w:jc w:val="center"/>
              <w:textAlignment w:val="center"/>
              <w:rPr>
                <w:rFonts w:ascii="宋体" w:hAnsi="宋体" w:cs="宋体"/>
                <w:b/>
                <w:sz w:val="21"/>
                <w:szCs w:val="21"/>
              </w:rPr>
            </w:pPr>
            <w:r>
              <w:rPr>
                <w:rFonts w:hint="eastAsia" w:ascii="宋体" w:hAnsi="宋体" w:eastAsia="宋体" w:cs="宋体"/>
                <w:b/>
                <w:bCs/>
                <w:i w:val="0"/>
                <w:iCs w:val="0"/>
                <w:color w:val="000000"/>
                <w:kern w:val="0"/>
                <w:sz w:val="22"/>
                <w:szCs w:val="22"/>
                <w:u w:val="none"/>
                <w:lang w:val="en-US" w:eastAsia="zh-CN" w:bidi="ar"/>
              </w:rPr>
              <w:t>技术参数</w:t>
            </w:r>
          </w:p>
        </w:tc>
      </w:tr>
      <w:tr w14:paraId="3E8D5B40">
        <w:tblPrEx>
          <w:tblCellMar>
            <w:top w:w="0" w:type="dxa"/>
            <w:left w:w="108" w:type="dxa"/>
            <w:bottom w:w="0" w:type="dxa"/>
            <w:right w:w="108" w:type="dxa"/>
          </w:tblCellMar>
        </w:tblPrEx>
        <w:trPr>
          <w:trHeight w:val="511" w:hRule="atLeast"/>
        </w:trPr>
        <w:tc>
          <w:tcPr>
            <w:tcW w:w="8864" w:type="dxa"/>
            <w:gridSpan w:val="3"/>
            <w:tcBorders>
              <w:top w:val="nil"/>
              <w:left w:val="single" w:color="auto" w:sz="8" w:space="0"/>
              <w:bottom w:val="single" w:color="auto" w:sz="4" w:space="0"/>
              <w:right w:val="single" w:color="auto" w:sz="4" w:space="0"/>
            </w:tcBorders>
            <w:vAlign w:val="center"/>
          </w:tcPr>
          <w:p w14:paraId="073A3072">
            <w:pPr>
              <w:keepNext w:val="0"/>
              <w:keepLines w:val="0"/>
              <w:widowControl/>
              <w:suppressLineNumbers w:val="0"/>
              <w:jc w:val="left"/>
              <w:textAlignment w:val="center"/>
              <w:rPr>
                <w:rFonts w:ascii="宋体" w:hAnsi="宋体" w:cs="宋体"/>
                <w:b/>
                <w:sz w:val="21"/>
                <w:szCs w:val="21"/>
              </w:rPr>
            </w:pPr>
            <w:r>
              <w:rPr>
                <w:rFonts w:hint="eastAsia" w:ascii="宋体" w:hAnsi="宋体" w:eastAsia="宋体" w:cs="宋体"/>
                <w:b/>
                <w:bCs/>
                <w:i w:val="0"/>
                <w:iCs w:val="0"/>
                <w:color w:val="000000"/>
                <w:kern w:val="0"/>
                <w:sz w:val="20"/>
                <w:szCs w:val="20"/>
                <w:u w:val="none"/>
                <w:lang w:val="en-US" w:eastAsia="zh-CN" w:bidi="ar"/>
              </w:rPr>
              <w:t>一、无纸化终端系统</w:t>
            </w:r>
          </w:p>
        </w:tc>
      </w:tr>
      <w:tr w14:paraId="2B7CAA9C">
        <w:tblPrEx>
          <w:tblCellMar>
            <w:top w:w="0" w:type="dxa"/>
            <w:left w:w="108" w:type="dxa"/>
            <w:bottom w:w="0" w:type="dxa"/>
            <w:right w:w="108" w:type="dxa"/>
          </w:tblCellMar>
        </w:tblPrEx>
        <w:trPr>
          <w:trHeight w:val="529" w:hRule="atLeast"/>
        </w:trPr>
        <w:tc>
          <w:tcPr>
            <w:tcW w:w="993" w:type="dxa"/>
            <w:tcBorders>
              <w:top w:val="nil"/>
              <w:left w:val="single" w:color="auto" w:sz="8" w:space="0"/>
              <w:bottom w:val="single" w:color="auto" w:sz="4" w:space="0"/>
              <w:right w:val="single" w:color="auto" w:sz="4" w:space="0"/>
            </w:tcBorders>
            <w:vAlign w:val="center"/>
          </w:tcPr>
          <w:p w14:paraId="5AA99B95">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1</w:t>
            </w:r>
          </w:p>
        </w:tc>
        <w:tc>
          <w:tcPr>
            <w:tcW w:w="1774" w:type="dxa"/>
            <w:tcBorders>
              <w:top w:val="nil"/>
              <w:left w:val="nil"/>
              <w:bottom w:val="single" w:color="auto" w:sz="4" w:space="0"/>
              <w:right w:val="single" w:color="auto" w:sz="4" w:space="0"/>
            </w:tcBorders>
            <w:vAlign w:val="center"/>
          </w:tcPr>
          <w:p w14:paraId="13D5ED13">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多角度桌面会议终端</w:t>
            </w:r>
          </w:p>
        </w:tc>
        <w:tc>
          <w:tcPr>
            <w:tcW w:w="6097" w:type="dxa"/>
            <w:tcBorders>
              <w:top w:val="nil"/>
              <w:left w:val="nil"/>
              <w:bottom w:val="single" w:color="auto" w:sz="4" w:space="0"/>
              <w:right w:val="single" w:color="auto" w:sz="4" w:space="0"/>
            </w:tcBorders>
            <w:vAlign w:val="center"/>
          </w:tcPr>
          <w:p w14:paraId="0476A6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▲1.外观结构：底座式多角度桌面双屏会议终端，前屏支持伸缩、旋转多角度调整，后屏固定显示；（投标时提供国家认可的第三方权威机构（CMA或CAL或CNAS标志）出具的检测报告复印件佐证，并加盖投标人公章） </w:t>
            </w:r>
          </w:p>
          <w:p w14:paraId="688699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2.伸缩调整：触控屏幕支持多级伸缩调整，具体的伸缩距离和关节数量可根据不同需求进行调整，自带支撑力度，可根据用户需求调整显示距离，能任意调整屏幕观看角度，还能调整屏幕与桌面高度</w:t>
            </w:r>
            <w:r>
              <w:rPr>
                <w:rFonts w:hint="eastAsia" w:ascii="宋体" w:hAnsi="宋体" w:eastAsia="宋体" w:cs="宋体"/>
                <w:i w:val="0"/>
                <w:iCs w:val="0"/>
                <w:color w:val="000000"/>
                <w:kern w:val="0"/>
                <w:sz w:val="20"/>
                <w:szCs w:val="20"/>
                <w:u w:val="none"/>
                <w:lang w:val="en-US" w:eastAsia="zh-CN" w:bidi="ar"/>
              </w:rPr>
              <w:t>；</w:t>
            </w:r>
          </w:p>
          <w:p w14:paraId="4661E8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旋转功能：触控屏可在横屏与竖屏间手动旋转调节，支持至少90度旋转，可搭配无纸化软件横屏观看同步视频画面，竖屏进行文件阅文；（投标时提供国家认可的第三方权威机构（CMA或CAL或CNAS标志）出具的检测报告复印件佐证，并加盖投标人公章）</w:t>
            </w:r>
          </w:p>
          <w:p w14:paraId="52DBB4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4.硬件配置：处理器性能不低于I5 十二代，支持至少12核心的CPU配置，内存不低于8GB，固态硬盘容量至少128GB；</w:t>
            </w:r>
          </w:p>
          <w:p w14:paraId="51E46C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5.屏幕配置：双屏异步显示，前屏为触控操作屏，尺寸不小于13.3寸，分辨率至少为1920*1200，后屏为铭牌显示，尺寸至少为9.4寸，分辨率至少为1024*440；</w:t>
            </w:r>
          </w:p>
          <w:p w14:paraId="750CDF6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6.触控工艺：采用不低于2.5D 的水滴屏制造工艺，采用 G+G 结构，支持十点以上电容触控，响应时间不大于10 ms。 </w:t>
            </w:r>
          </w:p>
          <w:p w14:paraId="48756974">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7.手笔分离：触控屏标配手笔分离功能，屏幕具备智能识别触控它的是手还是笔，实现提笔就写，用手可直接翻页。</w:t>
            </w:r>
          </w:p>
        </w:tc>
      </w:tr>
      <w:tr w14:paraId="02C5706A">
        <w:tblPrEx>
          <w:tblCellMar>
            <w:top w:w="0" w:type="dxa"/>
            <w:left w:w="108" w:type="dxa"/>
            <w:bottom w:w="0" w:type="dxa"/>
            <w:right w:w="108" w:type="dxa"/>
          </w:tblCellMar>
        </w:tblPrEx>
        <w:trPr>
          <w:trHeight w:val="469" w:hRule="atLeast"/>
        </w:trPr>
        <w:tc>
          <w:tcPr>
            <w:tcW w:w="993" w:type="dxa"/>
            <w:tcBorders>
              <w:top w:val="nil"/>
              <w:left w:val="single" w:color="auto" w:sz="8" w:space="0"/>
              <w:bottom w:val="single" w:color="auto" w:sz="4" w:space="0"/>
              <w:right w:val="single" w:color="auto" w:sz="4" w:space="0"/>
            </w:tcBorders>
            <w:vAlign w:val="center"/>
          </w:tcPr>
          <w:p w14:paraId="4AFD348C">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2</w:t>
            </w:r>
          </w:p>
        </w:tc>
        <w:tc>
          <w:tcPr>
            <w:tcW w:w="1774" w:type="dxa"/>
            <w:tcBorders>
              <w:top w:val="nil"/>
              <w:left w:val="nil"/>
              <w:bottom w:val="single" w:color="auto" w:sz="4" w:space="0"/>
              <w:right w:val="single" w:color="auto" w:sz="4" w:space="0"/>
            </w:tcBorders>
            <w:vAlign w:val="center"/>
          </w:tcPr>
          <w:p w14:paraId="4BEC13DE">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无纸化终端软件</w:t>
            </w:r>
          </w:p>
        </w:tc>
        <w:tc>
          <w:tcPr>
            <w:tcW w:w="6097" w:type="dxa"/>
            <w:tcBorders>
              <w:top w:val="nil"/>
              <w:left w:val="nil"/>
              <w:bottom w:val="single" w:color="auto" w:sz="4" w:space="0"/>
              <w:right w:val="single" w:color="auto" w:sz="4" w:space="0"/>
            </w:tcBorders>
            <w:vAlign w:val="center"/>
          </w:tcPr>
          <w:p w14:paraId="0588EA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 CS 架构，采用纯网络组网（视频信号、控制信号、文件传输等功能通过以太网的方式与所有会议终端以及后台主机进行通信）；</w:t>
            </w:r>
          </w:p>
          <w:p w14:paraId="30C8F1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2.支持软件具备与安卓系统、鸿蒙系统、统信系统、麒麟系统（中标、银河）、WINDOWS系统软件跨平台互联互通，实现跨平台文件视频同步共享；</w:t>
            </w:r>
          </w:p>
          <w:p w14:paraId="2FEC36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3.支持终端具备故障应急功能，当服务器与后台所有设备断线或瘫痪时，无须后台进行故障迁移或启用备份主机，终端依旧可以对所有终端进行同屏同步显示、异步浏览、跟踪主讲等信号交互操作；</w:t>
            </w:r>
          </w:p>
          <w:p w14:paraId="3E67527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4.支持软件功能包括签到、投票表决、电子白板、会议申请、视频同步等功能，预设多种会议模板，包括议程、参会人员、文件资料等，以便快速创建和启动会议；</w:t>
            </w:r>
          </w:p>
          <w:p w14:paraId="017F67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5.支持管理会议纪要，上传会议纪要，新建、修改、分发会议纪要，收集参会人员意见，管理纪要文件查看权限，发起会签，生成会签文档和文件；</w:t>
            </w:r>
          </w:p>
          <w:p w14:paraId="7A3173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直接编辑欢迎界面及会议信息的显示属性（大小、颜色、字体、位置）；在同一页面内可展示会议详情，包括主题、会议开始时间与结束时间、会议地点、会议主持人、会议议题名称，并支持多级议题和文件预览；</w:t>
            </w:r>
          </w:p>
          <w:p w14:paraId="01C113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7.支持会议文件源文件推送功能，会议文件不需要进行二次转换，保证文件格式一致性(包括doc、docx、xls、xlsx、ppt等多种格式），禁止 office 文件另存为功能，终端打开的 office 文件不能另存到其他地方,会议结束后会议资料自动全部清空；</w:t>
            </w:r>
          </w:p>
          <w:p w14:paraId="5D30FE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软件功能具备在任何页面的快捷操作,浮动窗口内快捷按键具备:快捷批注、协同操作、屏幕广播、跟踪主讲、返回桌面、返回系统、关闭文件、已打开文件、缩小文件、保存文件、原文批注、快捷批注等模块，以上所有模块具备隐藏功能；（投标时提供国家认可的第三方权威机构（CMA或CAL或CNAS标志）出具的检测报告复印件佐证，并加盖投标人公章）</w:t>
            </w:r>
          </w:p>
          <w:p w14:paraId="7D54B61B">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9.支持同一份文件，发起者在浏览文件界面中开启主讲，其他参会人员点击批注，可以直接在同一个文件中进行批注，不同的参会人员系统自动分配不同的颜色，保存于发起端，支持在阅文界内进行议题切换与文件无缝切换，不需要退出文件画面，就可以快速无缝的查看会议中各种各样的文件；(投标时须提供功能截图进行参数佐证，并加盖投标人公章)</w:t>
            </w:r>
          </w:p>
        </w:tc>
      </w:tr>
      <w:tr w14:paraId="5A69B8FC">
        <w:tblPrEx>
          <w:tblCellMar>
            <w:top w:w="0" w:type="dxa"/>
            <w:left w:w="108" w:type="dxa"/>
            <w:bottom w:w="0" w:type="dxa"/>
            <w:right w:w="108" w:type="dxa"/>
          </w:tblCellMar>
        </w:tblPrEx>
        <w:trPr>
          <w:trHeight w:val="432" w:hRule="atLeast"/>
        </w:trPr>
        <w:tc>
          <w:tcPr>
            <w:tcW w:w="993" w:type="dxa"/>
            <w:tcBorders>
              <w:top w:val="nil"/>
              <w:left w:val="single" w:color="auto" w:sz="8" w:space="0"/>
              <w:bottom w:val="single" w:color="auto" w:sz="4" w:space="0"/>
              <w:right w:val="single" w:color="auto" w:sz="4" w:space="0"/>
            </w:tcBorders>
            <w:vAlign w:val="center"/>
          </w:tcPr>
          <w:p w14:paraId="58EBD1B5">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3</w:t>
            </w:r>
          </w:p>
        </w:tc>
        <w:tc>
          <w:tcPr>
            <w:tcW w:w="1774" w:type="dxa"/>
            <w:tcBorders>
              <w:top w:val="nil"/>
              <w:left w:val="nil"/>
              <w:bottom w:val="single" w:color="auto" w:sz="4" w:space="0"/>
              <w:right w:val="single" w:color="auto" w:sz="4" w:space="0"/>
            </w:tcBorders>
            <w:vAlign w:val="center"/>
          </w:tcPr>
          <w:p w14:paraId="4F302547">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无纸化会议控制平台</w:t>
            </w:r>
          </w:p>
        </w:tc>
        <w:tc>
          <w:tcPr>
            <w:tcW w:w="6097" w:type="dxa"/>
            <w:tcBorders>
              <w:top w:val="nil"/>
              <w:left w:val="nil"/>
              <w:bottom w:val="single" w:color="auto" w:sz="4" w:space="0"/>
              <w:right w:val="single" w:color="auto" w:sz="4" w:space="0"/>
            </w:tcBorders>
            <w:vAlign w:val="center"/>
          </w:tcPr>
          <w:p w14:paraId="76167E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1.系统支持数据库备份及恢复、会议文件、系统日志备份（定时机制、或手动备份）；支持双机热备份，当一台系统出现问题无缝切换到到备用系统上，不影响会议进度；</w:t>
            </w:r>
          </w:p>
          <w:p w14:paraId="0D3C174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2.支持会议文件在传输存储过程中采用中国国标加密算法SM4；</w:t>
            </w:r>
          </w:p>
          <w:p w14:paraId="1C2322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3.支持同一会议室预置多场会议，根据实际会议情况分别上传本会议室中各个会议的参会人员、会议文件、投票表决内容、欢迎页界面，设置会议标语等；</w:t>
            </w:r>
          </w:p>
          <w:p w14:paraId="1337ED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多个会议议题的开启、结束管理，每个议题可以独立上传多份附件，议题包含汇报人和汇报时间、保密权限等配置，支持快速创建议题关联的投票；（投标时提供国家认可的第三方权威机构（CMA或CAL或CNAS标志）出具的检测报告复印件佐证，并加盖投标人公章）</w:t>
            </w:r>
          </w:p>
          <w:p w14:paraId="51E938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5.统一管理多个评分，实时查看评分过程与结果，支持大屏幕显示，高效管理评分数据，支持导入导出和身份认证，最高可支持 500 项评分；</w:t>
            </w:r>
          </w:p>
          <w:p w14:paraId="2ED84DFC">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0"/>
                <w:szCs w:val="20"/>
                <w:highlight w:val="none"/>
                <w:u w:val="none"/>
                <w:lang w:val="en-US" w:eastAsia="zh-CN" w:bidi="ar"/>
              </w:rPr>
              <w:t>6.支持会议保存，结束的会议系统会自动保存详细的会议内容，</w:t>
            </w:r>
            <w:r>
              <w:rPr>
                <w:rFonts w:hint="eastAsia" w:ascii="宋体" w:hAnsi="宋体" w:eastAsia="宋体" w:cs="宋体"/>
                <w:i w:val="0"/>
                <w:iCs w:val="0"/>
                <w:color w:val="000000"/>
                <w:kern w:val="0"/>
                <w:sz w:val="20"/>
                <w:szCs w:val="20"/>
                <w:u w:val="none"/>
                <w:lang w:val="en-US" w:eastAsia="zh-CN" w:bidi="ar"/>
              </w:rPr>
              <w:t>提供完善的资料归档和检索功能，方便用户随时查找和回顾会议资料，</w:t>
            </w:r>
            <w:r>
              <w:rPr>
                <w:rFonts w:hint="eastAsia" w:ascii="宋体" w:hAnsi="宋体" w:eastAsia="宋体" w:cs="宋体"/>
                <w:i w:val="0"/>
                <w:iCs w:val="0"/>
                <w:color w:val="000000"/>
                <w:kern w:val="0"/>
                <w:sz w:val="20"/>
                <w:szCs w:val="20"/>
                <w:highlight w:val="none"/>
                <w:u w:val="none"/>
                <w:lang w:val="en-US" w:eastAsia="zh-CN" w:bidi="ar"/>
              </w:rPr>
              <w:t>支持再次召开或删除已保存的会议，参会者可扫码带走会议资料，提供导出会议资料功能。</w:t>
            </w:r>
          </w:p>
        </w:tc>
      </w:tr>
      <w:tr w14:paraId="306DD10D">
        <w:tblPrEx>
          <w:tblCellMar>
            <w:top w:w="0" w:type="dxa"/>
            <w:left w:w="108" w:type="dxa"/>
            <w:bottom w:w="0" w:type="dxa"/>
            <w:right w:w="108" w:type="dxa"/>
          </w:tblCellMar>
        </w:tblPrEx>
        <w:trPr>
          <w:trHeight w:val="757" w:hRule="atLeast"/>
        </w:trPr>
        <w:tc>
          <w:tcPr>
            <w:tcW w:w="993" w:type="dxa"/>
            <w:tcBorders>
              <w:top w:val="nil"/>
              <w:left w:val="single" w:color="auto" w:sz="8" w:space="0"/>
              <w:bottom w:val="single" w:color="auto" w:sz="4" w:space="0"/>
              <w:right w:val="single" w:color="auto" w:sz="4" w:space="0"/>
            </w:tcBorders>
            <w:vAlign w:val="center"/>
          </w:tcPr>
          <w:p w14:paraId="3EFBFCC9">
            <w:pPr>
              <w:keepNext w:val="0"/>
              <w:keepLines w:val="0"/>
              <w:widowControl/>
              <w:suppressLineNumbers w:val="0"/>
              <w:jc w:val="center"/>
              <w:textAlignment w:val="center"/>
              <w:rPr>
                <w:rFonts w:ascii="宋体" w:hAnsi="宋体" w:cs="宋体"/>
                <w:b/>
                <w:sz w:val="21"/>
                <w:szCs w:val="21"/>
              </w:rPr>
            </w:pPr>
            <w:r>
              <w:rPr>
                <w:rFonts w:hint="eastAsia" w:ascii="宋体" w:hAnsi="宋体" w:eastAsia="宋体" w:cs="宋体"/>
                <w:i w:val="0"/>
                <w:iCs w:val="0"/>
                <w:color w:val="000000"/>
                <w:kern w:val="0"/>
                <w:sz w:val="20"/>
                <w:szCs w:val="20"/>
                <w:u w:val="none"/>
                <w:lang w:val="en-US" w:eastAsia="zh-CN" w:bidi="ar"/>
              </w:rPr>
              <w:t>4</w:t>
            </w:r>
          </w:p>
        </w:tc>
        <w:tc>
          <w:tcPr>
            <w:tcW w:w="1774" w:type="dxa"/>
            <w:tcBorders>
              <w:top w:val="nil"/>
              <w:left w:val="nil"/>
              <w:bottom w:val="single" w:color="auto" w:sz="4" w:space="0"/>
              <w:right w:val="single" w:color="auto" w:sz="4" w:space="0"/>
            </w:tcBorders>
            <w:vAlign w:val="center"/>
          </w:tcPr>
          <w:p w14:paraId="5945E4D9">
            <w:pPr>
              <w:keepNext w:val="0"/>
              <w:keepLines w:val="0"/>
              <w:widowControl/>
              <w:suppressLineNumbers w:val="0"/>
              <w:jc w:val="center"/>
              <w:textAlignment w:val="center"/>
              <w:rPr>
                <w:rFonts w:ascii="宋体" w:hAnsi="宋体" w:cs="宋体"/>
                <w:b/>
                <w:sz w:val="21"/>
                <w:szCs w:val="21"/>
              </w:rPr>
            </w:pPr>
            <w:r>
              <w:rPr>
                <w:rFonts w:hint="eastAsia" w:ascii="宋体" w:hAnsi="宋体" w:eastAsia="宋体" w:cs="宋体"/>
                <w:i w:val="0"/>
                <w:iCs w:val="0"/>
                <w:color w:val="000000"/>
                <w:kern w:val="0"/>
                <w:sz w:val="20"/>
                <w:szCs w:val="20"/>
                <w:u w:val="none"/>
                <w:lang w:val="en-US" w:eastAsia="zh-CN" w:bidi="ar"/>
              </w:rPr>
              <w:t>无纸化会议控制平台功能定制</w:t>
            </w:r>
          </w:p>
        </w:tc>
        <w:tc>
          <w:tcPr>
            <w:tcW w:w="6097" w:type="dxa"/>
            <w:tcBorders>
              <w:top w:val="nil"/>
              <w:left w:val="nil"/>
              <w:bottom w:val="single" w:color="auto" w:sz="4" w:space="0"/>
              <w:right w:val="single" w:color="auto" w:sz="4" w:space="0"/>
            </w:tcBorders>
            <w:vAlign w:val="center"/>
          </w:tcPr>
          <w:p w14:paraId="76A85D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1.定制批注功能扩展：支持对常用格式( 包括doc、docx、xls、xlsx等)的文件进行批注，保存。同时支持批注导航对于批注过的文件；</w:t>
            </w:r>
          </w:p>
          <w:p w14:paraId="0DC1758A">
            <w:pPr>
              <w:keepNext w:val="0"/>
              <w:keepLines w:val="0"/>
              <w:widowControl/>
              <w:suppressLineNumbers w:val="0"/>
              <w:jc w:val="left"/>
              <w:textAlignment w:val="center"/>
              <w:rPr>
                <w:rFonts w:ascii="宋体" w:hAnsi="宋体" w:cs="宋体"/>
                <w:b/>
                <w:sz w:val="21"/>
                <w:szCs w:val="21"/>
              </w:rPr>
            </w:pPr>
            <w:r>
              <w:rPr>
                <w:rFonts w:hint="eastAsia" w:ascii="宋体" w:hAnsi="宋体" w:eastAsia="宋体" w:cs="宋体"/>
                <w:i w:val="0"/>
                <w:iCs w:val="0"/>
                <w:color w:val="000000"/>
                <w:kern w:val="0"/>
                <w:sz w:val="20"/>
                <w:szCs w:val="20"/>
                <w:u w:val="none"/>
                <w:lang w:val="en-US" w:eastAsia="zh-CN" w:bidi="ar"/>
              </w:rPr>
              <w:t>▲2.定制评审意见书写功能，参会人员浏览文件时，可自定义输入针对此份文件的评审意见，评审结束后自动归档。</w:t>
            </w:r>
          </w:p>
        </w:tc>
      </w:tr>
      <w:tr w14:paraId="56DECB96">
        <w:tblPrEx>
          <w:tblCellMar>
            <w:top w:w="0" w:type="dxa"/>
            <w:left w:w="108" w:type="dxa"/>
            <w:bottom w:w="0" w:type="dxa"/>
            <w:right w:w="108" w:type="dxa"/>
          </w:tblCellMar>
        </w:tblPrEx>
        <w:trPr>
          <w:trHeight w:val="563" w:hRule="atLeast"/>
        </w:trPr>
        <w:tc>
          <w:tcPr>
            <w:tcW w:w="993" w:type="dxa"/>
            <w:tcBorders>
              <w:top w:val="nil"/>
              <w:left w:val="single" w:color="auto" w:sz="8" w:space="0"/>
              <w:bottom w:val="single" w:color="auto" w:sz="4" w:space="0"/>
              <w:right w:val="single" w:color="auto" w:sz="4" w:space="0"/>
            </w:tcBorders>
            <w:vAlign w:val="center"/>
          </w:tcPr>
          <w:p w14:paraId="58752A86">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5</w:t>
            </w:r>
          </w:p>
        </w:tc>
        <w:tc>
          <w:tcPr>
            <w:tcW w:w="1774" w:type="dxa"/>
            <w:tcBorders>
              <w:top w:val="nil"/>
              <w:left w:val="nil"/>
              <w:bottom w:val="single" w:color="auto" w:sz="4" w:space="0"/>
              <w:right w:val="single" w:color="auto" w:sz="4" w:space="0"/>
            </w:tcBorders>
            <w:vAlign w:val="center"/>
          </w:tcPr>
          <w:p w14:paraId="5638B02A">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触控一体机</w:t>
            </w:r>
          </w:p>
        </w:tc>
        <w:tc>
          <w:tcPr>
            <w:tcW w:w="6097" w:type="dxa"/>
            <w:tcBorders>
              <w:top w:val="nil"/>
              <w:left w:val="nil"/>
              <w:bottom w:val="single" w:color="auto" w:sz="4" w:space="0"/>
              <w:right w:val="single" w:color="auto" w:sz="4" w:space="0"/>
            </w:tcBorders>
            <w:vAlign w:val="center"/>
          </w:tcPr>
          <w:p w14:paraId="13E4DE9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1.外观及尺寸：屏幕尺寸为65，壁挂式，需配备适合的壁挂架，确保稳定悬挂。</w:t>
            </w:r>
          </w:p>
          <w:p w14:paraId="12B64E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2.显示参数：支持高清1920*1080及以上分辨率；</w:t>
            </w:r>
          </w:p>
          <w:p w14:paraId="49BCD7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3.触摸屏参数：采用红外触摸技术，支持多点触控，至少达到10点，以满足多人同时操作的需求。</w:t>
            </w:r>
          </w:p>
          <w:p w14:paraId="7333BB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4.性能参数：响应时间不高于8ms，确保用户操作得到及时响应。</w:t>
            </w:r>
          </w:p>
          <w:p w14:paraId="69C7CF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5.接口与扩展性：应具备多种接口，如HDMI、VGA、USB等，以满足不同设备的连接需求。</w:t>
            </w:r>
          </w:p>
          <w:p w14:paraId="1A581EDD">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0"/>
                <w:szCs w:val="20"/>
                <w:u w:val="none"/>
                <w:lang w:val="en-US" w:eastAsia="zh-CN" w:bidi="ar"/>
              </w:rPr>
              <w:t>6.基本要求：产品为国内品牌。</w:t>
            </w:r>
          </w:p>
        </w:tc>
      </w:tr>
      <w:tr w14:paraId="7E160C0C">
        <w:tblPrEx>
          <w:tblCellMar>
            <w:top w:w="0" w:type="dxa"/>
            <w:left w:w="108" w:type="dxa"/>
            <w:bottom w:w="0" w:type="dxa"/>
            <w:right w:w="108" w:type="dxa"/>
          </w:tblCellMar>
        </w:tblPrEx>
        <w:trPr>
          <w:trHeight w:val="528" w:hRule="atLeast"/>
        </w:trPr>
        <w:tc>
          <w:tcPr>
            <w:tcW w:w="993" w:type="dxa"/>
            <w:tcBorders>
              <w:top w:val="nil"/>
              <w:left w:val="single" w:color="auto" w:sz="8" w:space="0"/>
              <w:bottom w:val="single" w:color="auto" w:sz="4" w:space="0"/>
              <w:right w:val="single" w:color="auto" w:sz="4" w:space="0"/>
            </w:tcBorders>
            <w:vAlign w:val="center"/>
          </w:tcPr>
          <w:p w14:paraId="0A9AC2A2">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6</w:t>
            </w:r>
          </w:p>
        </w:tc>
        <w:tc>
          <w:tcPr>
            <w:tcW w:w="1774" w:type="dxa"/>
            <w:tcBorders>
              <w:top w:val="nil"/>
              <w:left w:val="nil"/>
              <w:bottom w:val="single" w:color="auto" w:sz="4" w:space="0"/>
              <w:right w:val="single" w:color="auto" w:sz="4" w:space="0"/>
            </w:tcBorders>
            <w:vAlign w:val="center"/>
          </w:tcPr>
          <w:p w14:paraId="66DACDE3">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电子名牌</w:t>
            </w:r>
          </w:p>
        </w:tc>
        <w:tc>
          <w:tcPr>
            <w:tcW w:w="6097" w:type="dxa"/>
            <w:tcBorders>
              <w:top w:val="nil"/>
              <w:left w:val="nil"/>
              <w:bottom w:val="single" w:color="auto" w:sz="4" w:space="0"/>
              <w:right w:val="single" w:color="auto" w:sz="4" w:space="0"/>
            </w:tcBorders>
            <w:vAlign w:val="center"/>
          </w:tcPr>
          <w:p w14:paraId="64E5875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1.外观及尺寸：屏幕尺寸为7-8寸；双面。</w:t>
            </w:r>
          </w:p>
          <w:p w14:paraId="6922A7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2.显示参数：支持高清1024*600及以上分辨率。</w:t>
            </w:r>
          </w:p>
          <w:p w14:paraId="12DAAC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3.触摸屏参数：采用红外触摸技术，支持多点触控。</w:t>
            </w:r>
          </w:p>
          <w:p w14:paraId="2F4EDE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4.性能参数：响应时间不高于10ms，确保用户操作得到及时响应。</w:t>
            </w:r>
          </w:p>
          <w:p w14:paraId="052D65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5.内屏功能：触摸签到、会议信息显示、显示人名、单机改名，支持自定义模板显示。</w:t>
            </w:r>
          </w:p>
          <w:p w14:paraId="5AC82A42">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6.后台集控，支持模拟会场布局，一键生成及发送与会者显示信息；后台实时更新签到信息，自动存档，支持终端查询。</w:t>
            </w:r>
          </w:p>
        </w:tc>
      </w:tr>
      <w:tr w14:paraId="72EFEE35">
        <w:tblPrEx>
          <w:tblCellMar>
            <w:top w:w="0" w:type="dxa"/>
            <w:left w:w="108" w:type="dxa"/>
            <w:bottom w:w="0" w:type="dxa"/>
            <w:right w:w="108" w:type="dxa"/>
          </w:tblCellMar>
        </w:tblPrEx>
        <w:trPr>
          <w:trHeight w:val="528" w:hRule="atLeast"/>
        </w:trPr>
        <w:tc>
          <w:tcPr>
            <w:tcW w:w="8864" w:type="dxa"/>
            <w:gridSpan w:val="3"/>
            <w:tcBorders>
              <w:top w:val="single" w:color="auto" w:sz="4" w:space="0"/>
              <w:left w:val="single" w:color="auto" w:sz="4" w:space="0"/>
              <w:bottom w:val="single" w:color="auto" w:sz="4" w:space="0"/>
              <w:right w:val="single" w:color="auto" w:sz="4" w:space="0"/>
            </w:tcBorders>
            <w:vAlign w:val="center"/>
          </w:tcPr>
          <w:p w14:paraId="29D833B7">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b/>
                <w:bCs/>
                <w:i w:val="0"/>
                <w:iCs w:val="0"/>
                <w:color w:val="000000"/>
                <w:kern w:val="0"/>
                <w:sz w:val="20"/>
                <w:szCs w:val="20"/>
                <w:u w:val="none"/>
                <w:lang w:val="en-US" w:eastAsia="zh-CN" w:bidi="ar"/>
              </w:rPr>
              <w:t>二、配套材料及安装</w:t>
            </w:r>
          </w:p>
        </w:tc>
      </w:tr>
      <w:tr w14:paraId="466F577E">
        <w:tblPrEx>
          <w:tblCellMar>
            <w:top w:w="0" w:type="dxa"/>
            <w:left w:w="108" w:type="dxa"/>
            <w:bottom w:w="0" w:type="dxa"/>
            <w:right w:w="108" w:type="dxa"/>
          </w:tblCellMar>
        </w:tblPrEx>
        <w:trPr>
          <w:trHeight w:val="528" w:hRule="atLeast"/>
        </w:trPr>
        <w:tc>
          <w:tcPr>
            <w:tcW w:w="993" w:type="dxa"/>
            <w:tcBorders>
              <w:top w:val="single" w:color="auto" w:sz="4" w:space="0"/>
              <w:left w:val="single" w:color="auto" w:sz="4" w:space="0"/>
              <w:bottom w:val="single" w:color="auto" w:sz="4" w:space="0"/>
              <w:right w:val="single" w:color="auto" w:sz="4" w:space="0"/>
            </w:tcBorders>
            <w:vAlign w:val="center"/>
          </w:tcPr>
          <w:p w14:paraId="3CAA2080">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1</w:t>
            </w:r>
          </w:p>
        </w:tc>
        <w:tc>
          <w:tcPr>
            <w:tcW w:w="1774" w:type="dxa"/>
            <w:tcBorders>
              <w:top w:val="single" w:color="auto" w:sz="4" w:space="0"/>
              <w:left w:val="nil"/>
              <w:bottom w:val="single" w:color="auto" w:sz="4" w:space="0"/>
              <w:right w:val="single" w:color="auto" w:sz="4" w:space="0"/>
            </w:tcBorders>
            <w:vAlign w:val="center"/>
          </w:tcPr>
          <w:p w14:paraId="1CC4D97F">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滑轨插座</w:t>
            </w:r>
          </w:p>
        </w:tc>
        <w:tc>
          <w:tcPr>
            <w:tcW w:w="6097" w:type="dxa"/>
            <w:tcBorders>
              <w:top w:val="single" w:color="auto" w:sz="4" w:space="0"/>
              <w:left w:val="nil"/>
              <w:bottom w:val="single" w:color="auto" w:sz="4" w:space="0"/>
              <w:right w:val="single" w:color="auto" w:sz="4" w:space="0"/>
            </w:tcBorders>
            <w:vAlign w:val="center"/>
          </w:tcPr>
          <w:p w14:paraId="656F482F">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滑轨长度：3根100cm，2根80cm，总计460cm；</w:t>
            </w:r>
          </w:p>
          <w:p w14:paraId="563D5AEF">
            <w:pPr>
              <w:keepNext w:val="0"/>
              <w:keepLines w:val="0"/>
              <w:widowControl/>
              <w:numPr>
                <w:ilvl w:val="0"/>
                <w:numId w:val="4"/>
              </w:numPr>
              <w:suppressLineNumbers w:val="0"/>
              <w:jc w:val="left"/>
              <w:textAlignment w:val="center"/>
              <w:rPr>
                <w:rFonts w:hint="eastAsia" w:ascii="宋体" w:hAnsi="宋体" w:cs="宋体"/>
                <w:sz w:val="21"/>
                <w:szCs w:val="21"/>
              </w:rPr>
            </w:pPr>
            <w:r>
              <w:rPr>
                <w:rFonts w:hint="eastAsia" w:ascii="宋体" w:hAnsi="宋体" w:eastAsia="宋体" w:cs="宋体"/>
                <w:i w:val="0"/>
                <w:iCs w:val="0"/>
                <w:color w:val="000000"/>
                <w:kern w:val="0"/>
                <w:sz w:val="20"/>
                <w:szCs w:val="20"/>
                <w:u w:val="none"/>
                <w:lang w:val="en-US" w:eastAsia="zh-CN" w:bidi="ar"/>
              </w:rPr>
              <w:t>16个活动插座。</w:t>
            </w:r>
          </w:p>
        </w:tc>
      </w:tr>
      <w:tr w14:paraId="796DD7E2">
        <w:tblPrEx>
          <w:tblCellMar>
            <w:top w:w="0" w:type="dxa"/>
            <w:left w:w="108" w:type="dxa"/>
            <w:bottom w:w="0" w:type="dxa"/>
            <w:right w:w="108" w:type="dxa"/>
          </w:tblCellMar>
        </w:tblPrEx>
        <w:trPr>
          <w:trHeight w:val="528" w:hRule="atLeast"/>
        </w:trPr>
        <w:tc>
          <w:tcPr>
            <w:tcW w:w="993" w:type="dxa"/>
            <w:tcBorders>
              <w:top w:val="single" w:color="auto" w:sz="4" w:space="0"/>
              <w:left w:val="single" w:color="auto" w:sz="4" w:space="0"/>
              <w:bottom w:val="single" w:color="auto" w:sz="4" w:space="0"/>
              <w:right w:val="single" w:color="auto" w:sz="4" w:space="0"/>
            </w:tcBorders>
            <w:vAlign w:val="center"/>
          </w:tcPr>
          <w:p w14:paraId="1810B6B6">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774" w:type="dxa"/>
            <w:tcBorders>
              <w:top w:val="single" w:color="auto" w:sz="4" w:space="0"/>
              <w:left w:val="nil"/>
              <w:bottom w:val="single" w:color="auto" w:sz="4" w:space="0"/>
              <w:right w:val="single" w:color="auto" w:sz="4" w:space="0"/>
            </w:tcBorders>
            <w:vAlign w:val="center"/>
          </w:tcPr>
          <w:p w14:paraId="5B37A35E">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0"/>
                <w:szCs w:val="20"/>
                <w:highlight w:val="none"/>
                <w:u w:val="none"/>
                <w:lang w:val="en-US" w:eastAsia="zh-CN" w:bidi="ar"/>
              </w:rPr>
              <w:t>自动伸缩网线盘</w:t>
            </w:r>
          </w:p>
        </w:tc>
        <w:tc>
          <w:tcPr>
            <w:tcW w:w="6097" w:type="dxa"/>
            <w:tcBorders>
              <w:top w:val="single" w:color="auto" w:sz="4" w:space="0"/>
              <w:left w:val="nil"/>
              <w:bottom w:val="single" w:color="auto" w:sz="4" w:space="0"/>
              <w:right w:val="single" w:color="auto" w:sz="4" w:space="0"/>
            </w:tcBorders>
            <w:vAlign w:val="center"/>
          </w:tcPr>
          <w:p w14:paraId="4CCB0F96">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0"/>
                <w:szCs w:val="20"/>
                <w:highlight w:val="none"/>
                <w:u w:val="none"/>
                <w:lang w:val="en-US" w:eastAsia="zh-CN" w:bidi="ar"/>
              </w:rPr>
              <w:t>1.2米自动伸缩</w:t>
            </w:r>
          </w:p>
        </w:tc>
      </w:tr>
      <w:tr w14:paraId="19246BE8">
        <w:tblPrEx>
          <w:tblCellMar>
            <w:top w:w="0" w:type="dxa"/>
            <w:left w:w="108" w:type="dxa"/>
            <w:bottom w:w="0" w:type="dxa"/>
            <w:right w:w="108" w:type="dxa"/>
          </w:tblCellMar>
        </w:tblPrEx>
        <w:trPr>
          <w:trHeight w:val="528" w:hRule="atLeast"/>
        </w:trPr>
        <w:tc>
          <w:tcPr>
            <w:tcW w:w="993" w:type="dxa"/>
            <w:tcBorders>
              <w:top w:val="single" w:color="auto" w:sz="4" w:space="0"/>
              <w:left w:val="single" w:color="auto" w:sz="4" w:space="0"/>
              <w:bottom w:val="single" w:color="auto" w:sz="4" w:space="0"/>
              <w:right w:val="single" w:color="auto" w:sz="4" w:space="0"/>
            </w:tcBorders>
            <w:vAlign w:val="center"/>
          </w:tcPr>
          <w:p w14:paraId="526DAD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774" w:type="dxa"/>
            <w:tcBorders>
              <w:top w:val="single" w:color="auto" w:sz="4" w:space="0"/>
              <w:left w:val="nil"/>
              <w:bottom w:val="single" w:color="auto" w:sz="4" w:space="0"/>
              <w:right w:val="single" w:color="auto" w:sz="4" w:space="0"/>
            </w:tcBorders>
            <w:vAlign w:val="center"/>
          </w:tcPr>
          <w:p w14:paraId="488162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航空箱</w:t>
            </w:r>
          </w:p>
        </w:tc>
        <w:tc>
          <w:tcPr>
            <w:tcW w:w="6097" w:type="dxa"/>
            <w:tcBorders>
              <w:top w:val="single" w:color="auto" w:sz="4" w:space="0"/>
              <w:left w:val="nil"/>
              <w:bottom w:val="single" w:color="auto" w:sz="4" w:space="0"/>
              <w:right w:val="single" w:color="auto" w:sz="4" w:space="0"/>
            </w:tcBorders>
            <w:vAlign w:val="center"/>
          </w:tcPr>
          <w:p w14:paraId="1E47ED2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铝合金材质，颜色可选，可容纳5-7个</w:t>
            </w:r>
            <w:r>
              <w:rPr>
                <w:rFonts w:hint="eastAsia" w:ascii="宋体" w:hAnsi="宋体" w:eastAsia="宋体" w:cs="宋体"/>
                <w:i w:val="0"/>
                <w:iCs w:val="0"/>
                <w:color w:val="000000"/>
                <w:kern w:val="0"/>
                <w:sz w:val="20"/>
                <w:szCs w:val="20"/>
                <w:u w:val="none"/>
                <w:lang w:val="en-US" w:eastAsia="zh-CN" w:bidi="ar"/>
              </w:rPr>
              <w:t>多角度桌面会议终端，根据终端定制内置隔板棉材料，加固金属把手，刹车轮设计。</w:t>
            </w:r>
          </w:p>
        </w:tc>
      </w:tr>
      <w:tr w14:paraId="4CDFF0B6">
        <w:tblPrEx>
          <w:tblCellMar>
            <w:top w:w="0" w:type="dxa"/>
            <w:left w:w="108" w:type="dxa"/>
            <w:bottom w:w="0" w:type="dxa"/>
            <w:right w:w="108" w:type="dxa"/>
          </w:tblCellMar>
        </w:tblPrEx>
        <w:trPr>
          <w:trHeight w:val="528" w:hRule="atLeast"/>
        </w:trPr>
        <w:tc>
          <w:tcPr>
            <w:tcW w:w="993" w:type="dxa"/>
            <w:tcBorders>
              <w:top w:val="single" w:color="auto" w:sz="4" w:space="0"/>
              <w:left w:val="single" w:color="auto" w:sz="4" w:space="0"/>
              <w:bottom w:val="single" w:color="auto" w:sz="4" w:space="0"/>
              <w:right w:val="single" w:color="auto" w:sz="4" w:space="0"/>
            </w:tcBorders>
            <w:vAlign w:val="center"/>
          </w:tcPr>
          <w:p w14:paraId="0ECA883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74" w:type="dxa"/>
            <w:tcBorders>
              <w:top w:val="single" w:color="auto" w:sz="4" w:space="0"/>
              <w:left w:val="nil"/>
              <w:bottom w:val="single" w:color="auto" w:sz="4" w:space="0"/>
              <w:right w:val="single" w:color="auto" w:sz="4" w:space="0"/>
            </w:tcBorders>
            <w:vAlign w:val="center"/>
          </w:tcPr>
          <w:p w14:paraId="5029999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线辅材及安装</w:t>
            </w:r>
          </w:p>
        </w:tc>
        <w:tc>
          <w:tcPr>
            <w:tcW w:w="6097" w:type="dxa"/>
            <w:tcBorders>
              <w:top w:val="single" w:color="auto" w:sz="4" w:space="0"/>
              <w:left w:val="nil"/>
              <w:bottom w:val="single" w:color="auto" w:sz="4" w:space="0"/>
              <w:right w:val="single" w:color="auto" w:sz="4" w:space="0"/>
            </w:tcBorders>
            <w:vAlign w:val="center"/>
          </w:tcPr>
          <w:p w14:paraId="5C9E31C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网线、电源线等辅材及安装</w:t>
            </w:r>
          </w:p>
        </w:tc>
      </w:tr>
    </w:tbl>
    <w:p w14:paraId="1D316045">
      <w:pPr>
        <w:numPr>
          <w:ilvl w:val="0"/>
          <w:numId w:val="3"/>
        </w:numPr>
        <w:adjustRightInd w:val="0"/>
        <w:snapToGrid w:val="0"/>
        <w:spacing w:line="480" w:lineRule="exact"/>
        <w:ind w:left="0" w:firstLine="640" w:firstLineChars="200"/>
        <w:rPr>
          <w:rFonts w:hint="eastAsia" w:ascii="黑体" w:hAnsi="黑体" w:eastAsia="黑体" w:cs="Times New Roman"/>
          <w:b w:val="0"/>
          <w:bCs w:val="0"/>
          <w:kern w:val="44"/>
          <w:sz w:val="32"/>
          <w:szCs w:val="32"/>
          <w:lang w:val="en-US" w:eastAsia="zh-CN" w:bidi="ar-SA"/>
        </w:rPr>
      </w:pPr>
      <w:r>
        <w:rPr>
          <w:rFonts w:hint="eastAsia" w:ascii="黑体" w:hAnsi="黑体" w:eastAsia="黑体" w:cs="Times New Roman"/>
          <w:b w:val="0"/>
          <w:bCs w:val="0"/>
          <w:kern w:val="44"/>
          <w:sz w:val="32"/>
          <w:szCs w:val="32"/>
          <w:lang w:val="en-US" w:eastAsia="zh-CN" w:bidi="ar-SA"/>
        </w:rPr>
        <w:t>商务需求</w:t>
      </w:r>
    </w:p>
    <w:p w14:paraId="614A48C3">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ascii="仿宋_GB2312" w:eastAsia="仿宋_GB2312"/>
        </w:rPr>
      </w:pPr>
      <w:r>
        <w:rPr>
          <w:rFonts w:hint="eastAsia" w:ascii="仿宋_GB2312" w:eastAsia="仿宋_GB2312"/>
          <w:lang w:eastAsia="zh-CN"/>
        </w:rPr>
        <w:t>（</w:t>
      </w:r>
      <w:r>
        <w:rPr>
          <w:rFonts w:hint="eastAsia" w:ascii="仿宋_GB2312" w:eastAsia="仿宋_GB2312"/>
          <w:lang w:val="en-US" w:eastAsia="zh-CN"/>
        </w:rPr>
        <w:t>一</w:t>
      </w:r>
      <w:r>
        <w:rPr>
          <w:rFonts w:hint="eastAsia" w:ascii="仿宋_GB2312" w:eastAsia="仿宋_GB2312"/>
          <w:lang w:eastAsia="zh-CN"/>
        </w:rPr>
        <w:t>）</w:t>
      </w:r>
      <w:r>
        <w:rPr>
          <w:rFonts w:hint="eastAsia" w:ascii="仿宋_GB2312" w:eastAsia="仿宋_GB2312"/>
        </w:rPr>
        <w:t>采购项目预算安排情况</w:t>
      </w:r>
    </w:p>
    <w:p w14:paraId="17C178E8">
      <w:pPr>
        <w:spacing w:line="560" w:lineRule="exact"/>
        <w:ind w:firstLine="640" w:firstLineChars="200"/>
        <w:rPr>
          <w:rFonts w:hint="eastAsia" w:ascii="仿宋_GB2312" w:hAnsi="宋体" w:eastAsia="仿宋_GB2312" w:cs="Times New Roman"/>
          <w:kern w:val="0"/>
          <w:sz w:val="32"/>
          <w:szCs w:val="32"/>
          <w:lang w:eastAsia="zh-CN"/>
        </w:rPr>
      </w:pPr>
      <w:r>
        <w:rPr>
          <w:rFonts w:hint="eastAsia" w:ascii="仿宋_GB2312" w:hAnsi="宋体" w:eastAsia="仿宋_GB2312" w:cs="Times New Roman"/>
          <w:kern w:val="0"/>
          <w:sz w:val="32"/>
          <w:szCs w:val="32"/>
          <w:lang w:val="en-US" w:eastAsia="zh-CN"/>
        </w:rPr>
        <w:t>187320</w:t>
      </w:r>
      <w:r>
        <w:rPr>
          <w:rFonts w:hint="eastAsia" w:ascii="仿宋_GB2312" w:hAnsi="宋体" w:eastAsia="仿宋_GB2312" w:cs="Times New Roman"/>
          <w:kern w:val="0"/>
          <w:sz w:val="32"/>
          <w:szCs w:val="32"/>
        </w:rPr>
        <w:t>元</w:t>
      </w:r>
      <w:r>
        <w:rPr>
          <w:rFonts w:hint="eastAsia" w:ascii="仿宋_GB2312" w:hAnsi="宋体" w:eastAsia="仿宋_GB2312" w:cs="Times New Roman"/>
          <w:kern w:val="0"/>
          <w:sz w:val="32"/>
          <w:szCs w:val="32"/>
          <w:lang w:eastAsia="zh-CN"/>
        </w:rPr>
        <w:t>。</w:t>
      </w:r>
    </w:p>
    <w:p w14:paraId="25E1E4C9">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二</w:t>
      </w:r>
      <w:r>
        <w:rPr>
          <w:rFonts w:hint="eastAsia" w:ascii="仿宋_GB2312" w:eastAsia="仿宋_GB2312"/>
          <w:lang w:eastAsia="zh-CN"/>
        </w:rPr>
        <w:t>）</w:t>
      </w:r>
      <w:r>
        <w:rPr>
          <w:rFonts w:hint="eastAsia" w:ascii="仿宋_GB2312" w:eastAsia="仿宋_GB2312"/>
        </w:rPr>
        <w:t>数量、交付或者实施周期和服务地点</w:t>
      </w:r>
    </w:p>
    <w:p w14:paraId="3604A6B4">
      <w:pPr>
        <w:pStyle w:val="35"/>
        <w:spacing w:line="560" w:lineRule="exact"/>
        <w:ind w:left="0" w:leftChars="0" w:firstLine="640" w:firstLineChars="200"/>
      </w:pPr>
      <w:r>
        <w:rPr>
          <w:rFonts w:hint="eastAsia" w:ascii="仿宋_GB2312" w:hAnsi="宋体" w:eastAsia="仿宋_GB2312" w:cs="Times New Roman"/>
          <w:kern w:val="0"/>
          <w:sz w:val="32"/>
          <w:szCs w:val="32"/>
        </w:rPr>
        <w:t>采购数量：1套。</w:t>
      </w:r>
    </w:p>
    <w:p w14:paraId="6F46DC15">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个月。</w:t>
      </w:r>
    </w:p>
    <w:p w14:paraId="4FD1ADD8">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服务地点：重庆市沙坪坝区。</w:t>
      </w:r>
    </w:p>
    <w:p w14:paraId="71BBBC78">
      <w:pPr>
        <w:spacing w:line="579" w:lineRule="exact"/>
        <w:ind w:firstLine="643" w:firstLineChars="200"/>
        <w:rPr>
          <w:rFonts w:hint="eastAsia"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w:t>
      </w:r>
      <w:r>
        <w:rPr>
          <w:rFonts w:hint="eastAsia" w:ascii="仿宋_GB2312" w:hAnsi="宋体" w:eastAsia="仿宋_GB2312" w:cs="Times New Roman"/>
          <w:b/>
          <w:bCs/>
          <w:kern w:val="0"/>
          <w:sz w:val="32"/>
          <w:szCs w:val="32"/>
          <w:lang w:val="en-US" w:eastAsia="zh-CN"/>
        </w:rPr>
        <w:t>三</w:t>
      </w:r>
      <w:r>
        <w:rPr>
          <w:rFonts w:hint="eastAsia" w:ascii="仿宋_GB2312" w:hAnsi="宋体" w:eastAsia="仿宋_GB2312" w:cs="Times New Roman"/>
          <w:b/>
          <w:bCs/>
          <w:kern w:val="0"/>
          <w:sz w:val="32"/>
          <w:szCs w:val="32"/>
        </w:rPr>
        <w:t>）售后服务</w:t>
      </w:r>
    </w:p>
    <w:p w14:paraId="78B7A0F4">
      <w:p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成交人负责免费包装、运输、安装、调试、培训和服务保障等。自货物验收完毕之日起，货物免费质保期</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年，在免费质保期内，出现产品质量问题，采购方提出后，成交人应在2小时内响应，24小时内到达现场提供相关的维修、更换服务。提供终生维护保障，在质保期后，继续提供技术支持服务。</w:t>
      </w:r>
    </w:p>
    <w:p w14:paraId="3FE12EFA">
      <w:pPr>
        <w:spacing w:line="579" w:lineRule="exact"/>
        <w:ind w:firstLine="643" w:firstLineChars="200"/>
        <w:rPr>
          <w:rFonts w:hint="eastAsia"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w:t>
      </w:r>
      <w:r>
        <w:rPr>
          <w:rFonts w:hint="eastAsia" w:ascii="仿宋_GB2312" w:hAnsi="宋体" w:eastAsia="仿宋_GB2312" w:cs="Times New Roman"/>
          <w:b/>
          <w:bCs/>
          <w:kern w:val="0"/>
          <w:sz w:val="32"/>
          <w:szCs w:val="32"/>
          <w:lang w:val="en-US" w:eastAsia="zh-CN"/>
        </w:rPr>
        <w:t>四</w:t>
      </w:r>
      <w:r>
        <w:rPr>
          <w:rFonts w:hint="eastAsia" w:ascii="仿宋_GB2312" w:hAnsi="宋体" w:eastAsia="仿宋_GB2312" w:cs="Times New Roman"/>
          <w:b/>
          <w:bCs/>
          <w:kern w:val="0"/>
          <w:sz w:val="32"/>
          <w:szCs w:val="32"/>
        </w:rPr>
        <w:t>）付款方式</w:t>
      </w:r>
    </w:p>
    <w:p w14:paraId="5877CF68">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到货后完成安装调试并通过测试和验收支付货款95%，质保期满支付5%。</w:t>
      </w:r>
    </w:p>
    <w:p w14:paraId="6FE3BAA0">
      <w:pPr>
        <w:spacing w:line="579" w:lineRule="exact"/>
        <w:ind w:firstLine="643" w:firstLineChars="200"/>
        <w:rPr>
          <w:rFonts w:hint="eastAsia"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w:t>
      </w:r>
      <w:r>
        <w:rPr>
          <w:rFonts w:hint="eastAsia" w:ascii="仿宋_GB2312" w:hAnsi="宋体" w:eastAsia="仿宋_GB2312" w:cs="Times New Roman"/>
          <w:b/>
          <w:bCs/>
          <w:kern w:val="0"/>
          <w:sz w:val="32"/>
          <w:szCs w:val="32"/>
          <w:lang w:val="en-US" w:eastAsia="zh-CN"/>
        </w:rPr>
        <w:t>五</w:t>
      </w:r>
      <w:r>
        <w:rPr>
          <w:rFonts w:hint="eastAsia" w:ascii="仿宋_GB2312" w:hAnsi="宋体" w:eastAsia="仿宋_GB2312" w:cs="Times New Roman"/>
          <w:b/>
          <w:bCs/>
          <w:kern w:val="0"/>
          <w:sz w:val="32"/>
          <w:szCs w:val="32"/>
        </w:rPr>
        <w:t>）验收方式</w:t>
      </w:r>
    </w:p>
    <w:p w14:paraId="75C29794">
      <w:p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23180790">
      <w:pPr>
        <w:pStyle w:val="2"/>
        <w:numPr>
          <w:ilvl w:val="0"/>
          <w:numId w:val="0"/>
        </w:numPr>
        <w:spacing w:before="0" w:after="0" w:line="579" w:lineRule="exact"/>
        <w:ind w:leftChars="200"/>
        <w:rPr>
          <w:rFonts w:ascii="黑体" w:hAnsi="黑体" w:eastAsia="黑体"/>
          <w:b w:val="0"/>
          <w:bCs w:val="0"/>
          <w:sz w:val="32"/>
          <w:szCs w:val="32"/>
        </w:rPr>
      </w:pPr>
      <w:r>
        <w:rPr>
          <w:rFonts w:hint="eastAsia" w:ascii="黑体" w:hAnsi="黑体" w:eastAsia="黑体"/>
          <w:b w:val="0"/>
          <w:bCs w:val="0"/>
          <w:sz w:val="32"/>
          <w:szCs w:val="32"/>
          <w:lang w:val="en-US" w:eastAsia="zh-CN"/>
        </w:rPr>
        <w:t>四、</w:t>
      </w:r>
      <w:r>
        <w:rPr>
          <w:rFonts w:hint="eastAsia" w:ascii="黑体" w:hAnsi="黑体" w:eastAsia="黑体"/>
          <w:b w:val="0"/>
          <w:bCs w:val="0"/>
          <w:sz w:val="32"/>
          <w:szCs w:val="32"/>
        </w:rPr>
        <w:t>实施意见</w:t>
      </w:r>
    </w:p>
    <w:p w14:paraId="1BCB936B">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一</w:t>
      </w:r>
      <w:r>
        <w:rPr>
          <w:rFonts w:hint="eastAsia" w:ascii="仿宋_GB2312" w:eastAsia="仿宋_GB2312"/>
          <w:lang w:eastAsia="zh-CN"/>
        </w:rPr>
        <w:t>）</w:t>
      </w:r>
      <w:r>
        <w:rPr>
          <w:rFonts w:hint="eastAsia" w:ascii="仿宋_GB2312" w:eastAsia="仿宋_GB2312"/>
        </w:rPr>
        <w:t>采购方式选择</w:t>
      </w:r>
    </w:p>
    <w:p w14:paraId="7613D8A3">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询价采购</w:t>
      </w:r>
    </w:p>
    <w:p w14:paraId="385B5E16">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二</w:t>
      </w:r>
      <w:r>
        <w:rPr>
          <w:rFonts w:hint="eastAsia" w:ascii="仿宋_GB2312" w:eastAsia="仿宋_GB2312"/>
          <w:lang w:eastAsia="zh-CN"/>
        </w:rPr>
        <w:t>）</w:t>
      </w:r>
      <w:r>
        <w:rPr>
          <w:rFonts w:hint="eastAsia" w:ascii="仿宋_GB2312" w:eastAsia="仿宋_GB2312"/>
        </w:rPr>
        <w:t>采购包划分</w:t>
      </w:r>
    </w:p>
    <w:p w14:paraId="2E618143">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14:paraId="5799BF0F">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三</w:t>
      </w:r>
      <w:r>
        <w:rPr>
          <w:rFonts w:hint="eastAsia" w:ascii="仿宋_GB2312" w:eastAsia="仿宋_GB2312"/>
          <w:lang w:eastAsia="zh-CN"/>
        </w:rPr>
        <w:t>）</w:t>
      </w:r>
      <w:r>
        <w:rPr>
          <w:rFonts w:hint="eastAsia" w:ascii="仿宋_GB2312" w:eastAsia="仿宋_GB2312"/>
        </w:rPr>
        <w:t>评审方式选择</w:t>
      </w:r>
    </w:p>
    <w:p w14:paraId="7947B107">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价格优先法</w:t>
      </w:r>
    </w:p>
    <w:p w14:paraId="3C9C2B21">
      <w:pPr>
        <w:snapToGrid w:val="0"/>
        <w:spacing w:line="480" w:lineRule="exact"/>
        <w:ind w:firstLine="560" w:firstLineChars="200"/>
        <w:jc w:val="left"/>
        <w:rPr>
          <w:rFonts w:eastAsia="仿宋_GB2312"/>
          <w:szCs w:val="28"/>
        </w:rPr>
      </w:pPr>
    </w:p>
    <w:p w14:paraId="78EB71F7">
      <w:pPr>
        <w:snapToGrid w:val="0"/>
        <w:spacing w:line="480" w:lineRule="exact"/>
        <w:ind w:firstLine="560" w:firstLineChars="200"/>
        <w:jc w:val="left"/>
        <w:rPr>
          <w:rFonts w:eastAsia="仿宋_GB2312"/>
          <w:szCs w:val="28"/>
        </w:rPr>
      </w:pPr>
    </w:p>
    <w:p w14:paraId="421914F9">
      <w:pPr>
        <w:snapToGrid w:val="0"/>
        <w:spacing w:line="480" w:lineRule="exact"/>
        <w:ind w:firstLine="560" w:firstLineChars="200"/>
        <w:jc w:val="left"/>
        <w:rPr>
          <w:rFonts w:eastAsia="仿宋_GB2312"/>
          <w:szCs w:val="28"/>
        </w:rPr>
      </w:pPr>
    </w:p>
    <w:p w14:paraId="0D6609CA">
      <w:pPr>
        <w:snapToGrid w:val="0"/>
        <w:spacing w:line="480" w:lineRule="exact"/>
        <w:ind w:firstLine="560" w:firstLineChars="200"/>
        <w:jc w:val="left"/>
        <w:rPr>
          <w:rFonts w:eastAsia="仿宋_GB2312"/>
          <w:szCs w:val="28"/>
        </w:rPr>
      </w:pPr>
    </w:p>
    <w:p w14:paraId="5AFDA2E6">
      <w:pPr>
        <w:snapToGrid w:val="0"/>
        <w:spacing w:line="480" w:lineRule="exact"/>
        <w:ind w:firstLine="560" w:firstLineChars="200"/>
        <w:jc w:val="left"/>
        <w:rPr>
          <w:rFonts w:eastAsia="仿宋_GB2312"/>
          <w:szCs w:val="28"/>
        </w:rPr>
      </w:pPr>
    </w:p>
    <w:p w14:paraId="2CBDF277">
      <w:pPr>
        <w:snapToGrid w:val="0"/>
        <w:spacing w:line="480" w:lineRule="exact"/>
        <w:ind w:firstLine="560" w:firstLineChars="200"/>
        <w:jc w:val="left"/>
        <w:rPr>
          <w:rFonts w:eastAsia="仿宋_GB2312"/>
          <w:szCs w:val="28"/>
        </w:rPr>
      </w:pPr>
    </w:p>
    <w:p w14:paraId="06C09360">
      <w:pPr>
        <w:snapToGrid w:val="0"/>
        <w:spacing w:line="480" w:lineRule="exact"/>
        <w:ind w:firstLine="560" w:firstLineChars="200"/>
        <w:jc w:val="left"/>
        <w:rPr>
          <w:rFonts w:eastAsia="仿宋_GB2312"/>
          <w:szCs w:val="28"/>
        </w:rPr>
      </w:pPr>
    </w:p>
    <w:p w14:paraId="07855BCA">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20"/>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14:paraId="40BD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19FB7FB">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2"/>
                <w:sz w:val="48"/>
                <w:szCs w:val="48"/>
                <w:lang w:val="en-US" w:eastAsia="zh-CN" w:bidi="ar"/>
              </w:rPr>
              <w:t xml:space="preserve">    </w:t>
            </w:r>
            <w:r>
              <w:rPr>
                <w:rStyle w:val="43"/>
                <w:sz w:val="48"/>
                <w:szCs w:val="48"/>
                <w:lang w:val="en-US" w:eastAsia="zh-CN" w:bidi="ar"/>
              </w:rPr>
              <w:t>（项目名称）</w:t>
            </w:r>
            <w:r>
              <w:rPr>
                <w:rStyle w:val="42"/>
                <w:sz w:val="48"/>
                <w:szCs w:val="48"/>
                <w:lang w:val="en-US" w:eastAsia="zh-CN" w:bidi="ar"/>
              </w:rPr>
              <w:t xml:space="preserve">  </w:t>
            </w:r>
            <w:r>
              <w:rPr>
                <w:rStyle w:val="44"/>
                <w:sz w:val="48"/>
                <w:szCs w:val="48"/>
                <w:u w:val="none"/>
                <w:lang w:val="en-US" w:eastAsia="zh-CN" w:bidi="ar"/>
              </w:rPr>
              <w:t>项目</w:t>
            </w:r>
          </w:p>
        </w:tc>
      </w:tr>
      <w:tr w14:paraId="5CA1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4FFD0C7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7FB5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AB31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55349F68">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19739BED">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2DFA3235">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7616A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134A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4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6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4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01E5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9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5FCF">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8C07">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67E9">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00AB">
            <w:pPr>
              <w:jc w:val="center"/>
              <w:rPr>
                <w:rFonts w:hint="eastAsia" w:ascii="宋体" w:hAnsi="宋体" w:eastAsia="宋体" w:cs="宋体"/>
                <w:i w:val="0"/>
                <w:iCs w:val="0"/>
                <w:color w:val="000000"/>
                <w:sz w:val="24"/>
                <w:szCs w:val="24"/>
                <w:u w:val="none"/>
              </w:rPr>
            </w:pPr>
          </w:p>
        </w:tc>
      </w:tr>
      <w:tr w14:paraId="1D12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0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5B20B">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892D">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C5D6">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9907">
            <w:pPr>
              <w:jc w:val="center"/>
              <w:rPr>
                <w:rFonts w:hint="eastAsia" w:ascii="宋体" w:hAnsi="宋体" w:eastAsia="宋体" w:cs="宋体"/>
                <w:i w:val="0"/>
                <w:iCs w:val="0"/>
                <w:color w:val="000000"/>
                <w:sz w:val="24"/>
                <w:szCs w:val="24"/>
                <w:u w:val="none"/>
              </w:rPr>
            </w:pPr>
          </w:p>
        </w:tc>
      </w:tr>
      <w:tr w14:paraId="484F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3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D1C25">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195E">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C01A">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8D83">
            <w:pPr>
              <w:jc w:val="center"/>
              <w:rPr>
                <w:rFonts w:hint="eastAsia" w:ascii="宋体" w:hAnsi="宋体" w:eastAsia="宋体" w:cs="宋体"/>
                <w:i w:val="0"/>
                <w:iCs w:val="0"/>
                <w:color w:val="000000"/>
                <w:sz w:val="24"/>
                <w:szCs w:val="24"/>
                <w:u w:val="none"/>
              </w:rPr>
            </w:pPr>
          </w:p>
        </w:tc>
      </w:tr>
      <w:tr w14:paraId="24FF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6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28BA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44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A42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78E6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0E0DE661">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40F5FE2A">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09101BCD">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35DE38BB">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7048B852">
            <w:pPr>
              <w:jc w:val="center"/>
              <w:rPr>
                <w:rFonts w:hint="eastAsia" w:ascii="宋体" w:hAnsi="宋体" w:eastAsia="宋体" w:cs="宋体"/>
                <w:i w:val="0"/>
                <w:iCs w:val="0"/>
                <w:color w:val="000000"/>
                <w:sz w:val="24"/>
                <w:szCs w:val="24"/>
                <w:u w:val="none"/>
              </w:rPr>
            </w:pPr>
          </w:p>
        </w:tc>
      </w:tr>
      <w:tr w14:paraId="25A4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5D9ED7A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583467A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4A2818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6BF9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AADE08E">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10280316">
            <w:pPr>
              <w:pStyle w:val="19"/>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12861BC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7B38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674209B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1A8A815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4C471AF6">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79ED9D58">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1B1292DD">
      <w:pPr>
        <w:ind w:firstLine="640" w:firstLineChars="200"/>
        <w:rPr>
          <w:rFonts w:ascii="Times New Roman" w:hAnsi="Times New Roman" w:eastAsia="楷体_GB2312" w:cs="Times New Roman"/>
          <w:sz w:val="32"/>
          <w:szCs w:val="32"/>
        </w:rPr>
      </w:pPr>
    </w:p>
    <w:p w14:paraId="6B405FC7">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2FD82C61">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7C074DBE">
      <w:pPr>
        <w:ind w:firstLine="640" w:firstLineChars="200"/>
        <w:rPr>
          <w:rFonts w:ascii="Times New Roman" w:hAnsi="Times New Roman" w:eastAsia="楷体_GB2312" w:cs="Times New Roman"/>
          <w:sz w:val="32"/>
          <w:szCs w:val="32"/>
        </w:rPr>
      </w:pPr>
    </w:p>
    <w:p w14:paraId="21B0E42F">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165BEE08">
      <w:pPr>
        <w:ind w:firstLine="640" w:firstLineChars="200"/>
        <w:rPr>
          <w:rFonts w:ascii="Times New Roman" w:hAnsi="Times New Roman" w:eastAsia="仿宋_GB2312" w:cs="Times New Roman"/>
          <w:sz w:val="32"/>
          <w:szCs w:val="32"/>
        </w:rPr>
      </w:pPr>
    </w:p>
    <w:p w14:paraId="7B6436A3">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0A47737C">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7C2C8FF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1A8014B">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7C2C8FF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1A8014B">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60325AE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D0A4CE6">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60325AE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D0A4CE6">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B26C477">
      <w:pPr>
        <w:rPr>
          <w:rFonts w:ascii="Times New Roman" w:hAnsi="Times New Roman" w:cs="Times New Roman"/>
          <w:szCs w:val="28"/>
        </w:rPr>
      </w:pPr>
    </w:p>
    <w:p w14:paraId="0C81E1DC">
      <w:pPr>
        <w:rPr>
          <w:rFonts w:ascii="Times New Roman" w:hAnsi="Times New Roman" w:cs="Times New Roman"/>
          <w:szCs w:val="28"/>
        </w:rPr>
      </w:pPr>
    </w:p>
    <w:p w14:paraId="7A095D50">
      <w:pPr>
        <w:rPr>
          <w:rFonts w:ascii="Times New Roman" w:hAnsi="Times New Roman" w:cs="Times New Roman"/>
          <w:szCs w:val="28"/>
        </w:rPr>
      </w:pPr>
    </w:p>
    <w:p w14:paraId="1BE086A2">
      <w:pPr>
        <w:rPr>
          <w:rFonts w:ascii="Times New Roman" w:hAnsi="Times New Roman" w:cs="Times New Roman"/>
          <w:szCs w:val="28"/>
        </w:rPr>
      </w:pPr>
    </w:p>
    <w:p w14:paraId="616A43FF">
      <w:pPr>
        <w:rPr>
          <w:rFonts w:ascii="Times New Roman" w:hAnsi="Times New Roman" w:cs="Times New Roman"/>
          <w:kern w:val="0"/>
          <w:szCs w:val="28"/>
        </w:rPr>
      </w:pPr>
    </w:p>
    <w:p w14:paraId="3F52071E">
      <w:pPr>
        <w:pStyle w:val="19"/>
        <w:rPr>
          <w:rFonts w:ascii="Times New Roman" w:hAnsi="Times New Roman" w:cs="Times New Roman"/>
          <w:kern w:val="0"/>
          <w:szCs w:val="28"/>
        </w:rPr>
      </w:pPr>
    </w:p>
    <w:p w14:paraId="52A2538E">
      <w:pPr>
        <w:rPr>
          <w:rFonts w:ascii="Times New Roman" w:hAnsi="Times New Roman" w:cs="Times New Roman"/>
          <w:kern w:val="0"/>
          <w:szCs w:val="28"/>
        </w:rPr>
      </w:pPr>
    </w:p>
    <w:p w14:paraId="64DBBC28">
      <w:pPr>
        <w:pStyle w:val="19"/>
      </w:pPr>
    </w:p>
    <w:p w14:paraId="4BE96749">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678151B1">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6CDA00DB">
      <w:pPr>
        <w:ind w:firstLine="5600" w:firstLineChars="1750"/>
        <w:rPr>
          <w:rFonts w:ascii="Times New Roman" w:hAnsi="Times New Roman" w:eastAsia="仿宋_GB2312" w:cs="Times New Roman"/>
          <w:kern w:val="0"/>
          <w:sz w:val="32"/>
          <w:szCs w:val="32"/>
        </w:rPr>
      </w:pPr>
    </w:p>
    <w:p w14:paraId="2A1531C1">
      <w:pPr>
        <w:rPr>
          <w:rFonts w:ascii="Times New Roman" w:hAnsi="Times New Roman" w:cs="Times New Roman"/>
          <w:kern w:val="0"/>
          <w:sz w:val="24"/>
          <w:szCs w:val="24"/>
        </w:rPr>
      </w:pPr>
    </w:p>
    <w:p w14:paraId="4FA1CF52">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14:paraId="0D8332EB">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145A8769">
      <w:pPr>
        <w:ind w:firstLine="640" w:firstLineChars="200"/>
        <w:rPr>
          <w:rFonts w:ascii="Times New Roman" w:hAnsi="Times New Roman" w:eastAsia="楷体_GB2312" w:cs="Times New Roman"/>
          <w:sz w:val="32"/>
          <w:szCs w:val="32"/>
        </w:rPr>
      </w:pPr>
    </w:p>
    <w:p w14:paraId="19EF48D4">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676B9F08">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22CABB9E">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7AE22F37">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019B9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6E313BE0">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2C22FDC">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2AF7FF37">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5D4C71EB">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0AA6F917">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6AD9559A">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BC29A66">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6AD9559A">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BC29A66">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2AF18199">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8A40FD0">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2AF18199">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8A40FD0">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7B51D985">
      <w:pPr>
        <w:spacing w:line="560" w:lineRule="exact"/>
        <w:ind w:firstLine="573"/>
        <w:rPr>
          <w:rFonts w:ascii="Times New Roman" w:hAnsi="Times New Roman" w:cs="Times New Roman"/>
          <w:kern w:val="0"/>
          <w:sz w:val="24"/>
          <w:szCs w:val="24"/>
        </w:rPr>
      </w:pPr>
    </w:p>
    <w:p w14:paraId="1D4FAC69">
      <w:pPr>
        <w:spacing w:line="560" w:lineRule="exact"/>
        <w:ind w:firstLine="573"/>
        <w:rPr>
          <w:rFonts w:ascii="Times New Roman" w:hAnsi="Times New Roman" w:cs="Times New Roman"/>
          <w:kern w:val="0"/>
          <w:sz w:val="24"/>
          <w:szCs w:val="24"/>
        </w:rPr>
      </w:pPr>
    </w:p>
    <w:p w14:paraId="37A152C7">
      <w:pPr>
        <w:spacing w:line="560" w:lineRule="exact"/>
        <w:ind w:firstLine="573"/>
        <w:rPr>
          <w:rFonts w:ascii="Times New Roman" w:hAnsi="Times New Roman" w:cs="Times New Roman"/>
          <w:kern w:val="0"/>
          <w:sz w:val="24"/>
          <w:szCs w:val="24"/>
        </w:rPr>
      </w:pPr>
    </w:p>
    <w:p w14:paraId="422D02EC">
      <w:pPr>
        <w:spacing w:line="460" w:lineRule="atLeast"/>
        <w:rPr>
          <w:rFonts w:ascii="Times New Roman" w:hAnsi="Times New Roman" w:eastAsia="仿宋" w:cs="Times New Roman"/>
          <w:color w:val="FF0000"/>
          <w:kern w:val="0"/>
        </w:rPr>
      </w:pPr>
    </w:p>
    <w:p w14:paraId="3B49834A">
      <w:pPr>
        <w:pStyle w:val="19"/>
      </w:pPr>
    </w:p>
    <w:p w14:paraId="55D25BC6">
      <w:pPr>
        <w:pStyle w:val="19"/>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p w14:paraId="40B15229">
      <w:pPr>
        <w:snapToGrid w:val="0"/>
        <w:spacing w:line="480" w:lineRule="exact"/>
        <w:jc w:val="left"/>
        <w:rPr>
          <w:rFonts w:eastAsia="仿宋_GB2312"/>
          <w:szCs w:val="28"/>
        </w:rPr>
      </w:pPr>
    </w:p>
    <w:sectPr>
      <w:headerReference r:id="rId10" w:type="default"/>
      <w:footerReference r:id="rId11" w:type="default"/>
      <w:pgSz w:w="11906" w:h="16838"/>
      <w:pgMar w:top="2098" w:right="1474" w:bottom="1985" w:left="1588" w:header="851" w:footer="1191" w:gutter="0"/>
      <w:cols w:space="720" w:num="1"/>
      <w:docGrid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CE866E-8DA3-4032-B054-0F193AB67D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embedRegular r:id="rId2" w:fontKey="{5FD96892-263A-45A8-B3D2-395B37D4C8E6}"/>
  </w:font>
  <w:font w:name="Arial Unicode MS">
    <w:panose1 w:val="020B0604020202020204"/>
    <w:charset w:val="86"/>
    <w:family w:val="swiss"/>
    <w:pitch w:val="default"/>
    <w:sig w:usb0="FFFFFFFF" w:usb1="E9FFFFFF" w:usb2="0000003F" w:usb3="00000000" w:csb0="603F01FF" w:csb1="FFFF0000"/>
    <w:embedRegular r:id="rId3" w:fontKey="{65B02F0D-9FB6-4B1C-8E70-E2FF358C10F1}"/>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87E7F6EA-04C6-435F-88F2-A0B70A3B95DF}"/>
  </w:font>
  <w:font w:name="方正大标宋简体">
    <w:panose1 w:val="02000000000000000000"/>
    <w:charset w:val="86"/>
    <w:family w:val="auto"/>
    <w:pitch w:val="default"/>
    <w:sig w:usb0="A00002BF" w:usb1="184F6CFA" w:usb2="00000012" w:usb3="00000000" w:csb0="00040001" w:csb1="00000000"/>
    <w:embedRegular r:id="rId5" w:fontKey="{070F68D6-0787-4597-AABD-3EEC1ABACF79}"/>
  </w:font>
  <w:font w:name="楷体_GB2312">
    <w:panose1 w:val="02010609030101010101"/>
    <w:charset w:val="86"/>
    <w:family w:val="modern"/>
    <w:pitch w:val="default"/>
    <w:sig w:usb0="00000001" w:usb1="080E0000" w:usb2="00000000" w:usb3="00000000" w:csb0="00040000" w:csb1="00000000"/>
    <w:embedRegular r:id="rId6" w:fontKey="{AA41E27D-1993-441A-A961-89087EFE7C55}"/>
  </w:font>
  <w:font w:name="仿宋">
    <w:panose1 w:val="02010609060101010101"/>
    <w:charset w:val="86"/>
    <w:family w:val="modern"/>
    <w:pitch w:val="default"/>
    <w:sig w:usb0="800002BF" w:usb1="38CF7CFA" w:usb2="00000016" w:usb3="00000000" w:csb0="00040001" w:csb1="00000000"/>
    <w:embedRegular r:id="rId7" w:fontKey="{D87FD25C-8A5C-4F0F-B263-6F5BD911E456}"/>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E64B1">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1FE2C">
                          <w:pPr>
                            <w:pStyle w:val="1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B1FE2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5588">
    <w:pPr>
      <w:pStyle w:val="13"/>
      <w:framePr w:wrap="around" w:vAnchor="text" w:hAnchor="margin" w:xAlign="center" w:y="1"/>
      <w:rPr>
        <w:rStyle w:val="24"/>
      </w:rPr>
    </w:pPr>
    <w:r>
      <w:fldChar w:fldCharType="begin"/>
    </w:r>
    <w:r>
      <w:rPr>
        <w:rStyle w:val="24"/>
      </w:rPr>
      <w:instrText xml:space="preserve">PAGE  </w:instrText>
    </w:r>
    <w:r>
      <w:fldChar w:fldCharType="end"/>
    </w:r>
  </w:p>
  <w:p w14:paraId="0DC73DB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15FF">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FC75D">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1DFC75D">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78B3C61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797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BDC9">
    <w:pPr>
      <w:pStyle w:val="13"/>
      <w:framePr w:wrap="around" w:vAnchor="text" w:hAnchor="margin" w:xAlign="outside" w:y="1"/>
      <w:rPr>
        <w:rStyle w:val="24"/>
        <w:rFonts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17</w:t>
    </w:r>
    <w:r>
      <w:rPr>
        <w:rStyle w:val="24"/>
        <w:rFonts w:ascii="宋体" w:hAnsi="宋体"/>
        <w:szCs w:val="28"/>
      </w:rPr>
      <w:fldChar w:fldCharType="end"/>
    </w:r>
    <w:r>
      <w:rPr>
        <w:rStyle w:val="24"/>
        <w:rFonts w:hint="eastAsia" w:ascii="宋体" w:hAnsi="宋体"/>
        <w:szCs w:val="28"/>
      </w:rPr>
      <w:t>—</w:t>
    </w:r>
  </w:p>
  <w:p w14:paraId="14C096DC">
    <w:pPr>
      <w:pStyle w:val="13"/>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BEF4">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344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BCBC">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3C9D">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37FF2BA4"/>
    <w:multiLevelType w:val="singleLevel"/>
    <w:tmpl w:val="37FF2BA4"/>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5Y2U0NTA2M2M2NzBkYTQ5MTZkZWU4YWI0ODAyMTg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87340"/>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84381"/>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7185E"/>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C6762"/>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6E0F"/>
    <w:rsid w:val="00547A46"/>
    <w:rsid w:val="00555B2E"/>
    <w:rsid w:val="005703EA"/>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678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1E13"/>
    <w:rsid w:val="00AB5FDC"/>
    <w:rsid w:val="00AC1483"/>
    <w:rsid w:val="00B00D8C"/>
    <w:rsid w:val="00B15F80"/>
    <w:rsid w:val="00B16B84"/>
    <w:rsid w:val="00B23BB9"/>
    <w:rsid w:val="00B24C79"/>
    <w:rsid w:val="00B25D61"/>
    <w:rsid w:val="00B529B0"/>
    <w:rsid w:val="00B66C53"/>
    <w:rsid w:val="00B71FD4"/>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280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75451"/>
    <w:rsid w:val="00D958FB"/>
    <w:rsid w:val="00DA1664"/>
    <w:rsid w:val="00DA1D7A"/>
    <w:rsid w:val="00DA7497"/>
    <w:rsid w:val="00DC107C"/>
    <w:rsid w:val="00DC14C1"/>
    <w:rsid w:val="00DD2719"/>
    <w:rsid w:val="00DE1206"/>
    <w:rsid w:val="00DF392E"/>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21279B4"/>
    <w:rsid w:val="034B2E38"/>
    <w:rsid w:val="03D74457"/>
    <w:rsid w:val="040F3E66"/>
    <w:rsid w:val="04EA0F95"/>
    <w:rsid w:val="050A5DF9"/>
    <w:rsid w:val="05696AF9"/>
    <w:rsid w:val="057D419D"/>
    <w:rsid w:val="05D9472B"/>
    <w:rsid w:val="05DE2EA3"/>
    <w:rsid w:val="06190FCC"/>
    <w:rsid w:val="072A7934"/>
    <w:rsid w:val="079A2E7C"/>
    <w:rsid w:val="07E34A3F"/>
    <w:rsid w:val="09420C01"/>
    <w:rsid w:val="09DF42DA"/>
    <w:rsid w:val="0A2E15B9"/>
    <w:rsid w:val="0B0C1D12"/>
    <w:rsid w:val="0B47616D"/>
    <w:rsid w:val="0D29238E"/>
    <w:rsid w:val="0DE853E9"/>
    <w:rsid w:val="0DEA7AA0"/>
    <w:rsid w:val="0EA32AC1"/>
    <w:rsid w:val="0EB9334C"/>
    <w:rsid w:val="0EDB7145"/>
    <w:rsid w:val="0FF17279"/>
    <w:rsid w:val="11674266"/>
    <w:rsid w:val="13D84274"/>
    <w:rsid w:val="143D7A24"/>
    <w:rsid w:val="14765EED"/>
    <w:rsid w:val="14AF636D"/>
    <w:rsid w:val="150474D2"/>
    <w:rsid w:val="151E65FF"/>
    <w:rsid w:val="16EF017E"/>
    <w:rsid w:val="18424E8E"/>
    <w:rsid w:val="1A164E45"/>
    <w:rsid w:val="1A50687F"/>
    <w:rsid w:val="1C881008"/>
    <w:rsid w:val="1CCE22DB"/>
    <w:rsid w:val="1CCE23EB"/>
    <w:rsid w:val="1D306ECF"/>
    <w:rsid w:val="1D7222AE"/>
    <w:rsid w:val="1D77701C"/>
    <w:rsid w:val="1D7A26DD"/>
    <w:rsid w:val="1E421D2E"/>
    <w:rsid w:val="1E736EAE"/>
    <w:rsid w:val="1EA95ABE"/>
    <w:rsid w:val="1F0D7253"/>
    <w:rsid w:val="1F9415B5"/>
    <w:rsid w:val="20672FDF"/>
    <w:rsid w:val="20855784"/>
    <w:rsid w:val="21B10B0A"/>
    <w:rsid w:val="22295B1A"/>
    <w:rsid w:val="22705A00"/>
    <w:rsid w:val="243D1DB1"/>
    <w:rsid w:val="251767F6"/>
    <w:rsid w:val="25997301"/>
    <w:rsid w:val="25DE0DFA"/>
    <w:rsid w:val="25ED551C"/>
    <w:rsid w:val="268F2EB8"/>
    <w:rsid w:val="270A5A58"/>
    <w:rsid w:val="282615FA"/>
    <w:rsid w:val="28930FDA"/>
    <w:rsid w:val="28A4093D"/>
    <w:rsid w:val="28A571DE"/>
    <w:rsid w:val="29A02139"/>
    <w:rsid w:val="2A6B7F95"/>
    <w:rsid w:val="2B9D0FF7"/>
    <w:rsid w:val="2C245261"/>
    <w:rsid w:val="2C2A777D"/>
    <w:rsid w:val="2DC360E2"/>
    <w:rsid w:val="2E28703E"/>
    <w:rsid w:val="2EED207D"/>
    <w:rsid w:val="2F394C9E"/>
    <w:rsid w:val="2FED1A17"/>
    <w:rsid w:val="30166D99"/>
    <w:rsid w:val="30B402AF"/>
    <w:rsid w:val="3104090C"/>
    <w:rsid w:val="31D652C6"/>
    <w:rsid w:val="33840616"/>
    <w:rsid w:val="33AD6A5A"/>
    <w:rsid w:val="34474DD2"/>
    <w:rsid w:val="34AF2977"/>
    <w:rsid w:val="34DE7D3B"/>
    <w:rsid w:val="35174982"/>
    <w:rsid w:val="35500CBF"/>
    <w:rsid w:val="358A766C"/>
    <w:rsid w:val="35FC2392"/>
    <w:rsid w:val="36372989"/>
    <w:rsid w:val="367C187B"/>
    <w:rsid w:val="36FF7F61"/>
    <w:rsid w:val="374970B3"/>
    <w:rsid w:val="37857C22"/>
    <w:rsid w:val="37A42A2A"/>
    <w:rsid w:val="37B238AC"/>
    <w:rsid w:val="388759CC"/>
    <w:rsid w:val="38BD3452"/>
    <w:rsid w:val="38C70290"/>
    <w:rsid w:val="39243107"/>
    <w:rsid w:val="3A7F0F62"/>
    <w:rsid w:val="3B025860"/>
    <w:rsid w:val="3C446528"/>
    <w:rsid w:val="3C7544A7"/>
    <w:rsid w:val="3DD74805"/>
    <w:rsid w:val="3E0B5931"/>
    <w:rsid w:val="3E7A738E"/>
    <w:rsid w:val="3FB62718"/>
    <w:rsid w:val="3FF12096"/>
    <w:rsid w:val="40E7618A"/>
    <w:rsid w:val="41100C19"/>
    <w:rsid w:val="415A3DC7"/>
    <w:rsid w:val="43222EB3"/>
    <w:rsid w:val="432805AA"/>
    <w:rsid w:val="432F2B5F"/>
    <w:rsid w:val="43A62AD6"/>
    <w:rsid w:val="44510D38"/>
    <w:rsid w:val="44E55E97"/>
    <w:rsid w:val="466E7C00"/>
    <w:rsid w:val="46CA5A4D"/>
    <w:rsid w:val="46CD3E3E"/>
    <w:rsid w:val="46F32D1C"/>
    <w:rsid w:val="46F920D7"/>
    <w:rsid w:val="478F7ED7"/>
    <w:rsid w:val="47AB6FCE"/>
    <w:rsid w:val="481F6B1F"/>
    <w:rsid w:val="48255885"/>
    <w:rsid w:val="483970C6"/>
    <w:rsid w:val="48E064A0"/>
    <w:rsid w:val="49A37EA2"/>
    <w:rsid w:val="4A013479"/>
    <w:rsid w:val="4AB728E2"/>
    <w:rsid w:val="4B5C7602"/>
    <w:rsid w:val="4BD405AD"/>
    <w:rsid w:val="4DEE0395"/>
    <w:rsid w:val="4DFF14E6"/>
    <w:rsid w:val="4F19264C"/>
    <w:rsid w:val="4FDD3FD5"/>
    <w:rsid w:val="50084B0C"/>
    <w:rsid w:val="505C602E"/>
    <w:rsid w:val="508E7646"/>
    <w:rsid w:val="50D0256E"/>
    <w:rsid w:val="51626C02"/>
    <w:rsid w:val="521750D2"/>
    <w:rsid w:val="5270087E"/>
    <w:rsid w:val="52C928ED"/>
    <w:rsid w:val="536D0A62"/>
    <w:rsid w:val="53793538"/>
    <w:rsid w:val="537D3403"/>
    <w:rsid w:val="54B90584"/>
    <w:rsid w:val="54E22292"/>
    <w:rsid w:val="54FC3833"/>
    <w:rsid w:val="568B1481"/>
    <w:rsid w:val="575472C8"/>
    <w:rsid w:val="57B123DF"/>
    <w:rsid w:val="581E5623"/>
    <w:rsid w:val="586E0370"/>
    <w:rsid w:val="58DD72E9"/>
    <w:rsid w:val="59B65E80"/>
    <w:rsid w:val="5A04249F"/>
    <w:rsid w:val="5BC41990"/>
    <w:rsid w:val="5D094A6B"/>
    <w:rsid w:val="5D464C86"/>
    <w:rsid w:val="5E6E102A"/>
    <w:rsid w:val="5F1540E6"/>
    <w:rsid w:val="5F4E2C09"/>
    <w:rsid w:val="61265BD3"/>
    <w:rsid w:val="61846DAD"/>
    <w:rsid w:val="619A1435"/>
    <w:rsid w:val="62EB3857"/>
    <w:rsid w:val="63BD0815"/>
    <w:rsid w:val="640F3694"/>
    <w:rsid w:val="64122457"/>
    <w:rsid w:val="642573B2"/>
    <w:rsid w:val="647F6205"/>
    <w:rsid w:val="64BB0D1F"/>
    <w:rsid w:val="64FA7EF1"/>
    <w:rsid w:val="66616E20"/>
    <w:rsid w:val="67732ED2"/>
    <w:rsid w:val="68B27EEE"/>
    <w:rsid w:val="69625869"/>
    <w:rsid w:val="696D1EDE"/>
    <w:rsid w:val="696E091D"/>
    <w:rsid w:val="69B41D13"/>
    <w:rsid w:val="6B06502A"/>
    <w:rsid w:val="6B8B6553"/>
    <w:rsid w:val="6CF509AA"/>
    <w:rsid w:val="6D9A218A"/>
    <w:rsid w:val="6E2C1F47"/>
    <w:rsid w:val="6E7961E0"/>
    <w:rsid w:val="6ECE03AF"/>
    <w:rsid w:val="6EFC7023"/>
    <w:rsid w:val="6F0E32A4"/>
    <w:rsid w:val="702E553E"/>
    <w:rsid w:val="7048597B"/>
    <w:rsid w:val="70B52644"/>
    <w:rsid w:val="710B7CC4"/>
    <w:rsid w:val="71AF2191"/>
    <w:rsid w:val="722A05C4"/>
    <w:rsid w:val="725974A3"/>
    <w:rsid w:val="72FB2DC4"/>
    <w:rsid w:val="73645205"/>
    <w:rsid w:val="7437414A"/>
    <w:rsid w:val="74650381"/>
    <w:rsid w:val="74831F88"/>
    <w:rsid w:val="7543585D"/>
    <w:rsid w:val="75AA167E"/>
    <w:rsid w:val="75B80ABE"/>
    <w:rsid w:val="75EE17D5"/>
    <w:rsid w:val="771D5332"/>
    <w:rsid w:val="7778345E"/>
    <w:rsid w:val="77A06CE6"/>
    <w:rsid w:val="79BF69E3"/>
    <w:rsid w:val="7A1E105F"/>
    <w:rsid w:val="7B457AA3"/>
    <w:rsid w:val="7B6E5F0B"/>
    <w:rsid w:val="7B835D79"/>
    <w:rsid w:val="7B954CFC"/>
    <w:rsid w:val="7C047797"/>
    <w:rsid w:val="7C643CE3"/>
    <w:rsid w:val="7D1260EF"/>
    <w:rsid w:val="7D527C02"/>
    <w:rsid w:val="7D55281C"/>
    <w:rsid w:val="7DAA4898"/>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9"/>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1"/>
    <w:qFormat/>
    <w:uiPriority w:val="0"/>
    <w:pPr>
      <w:spacing w:line="700" w:lineRule="exact"/>
      <w:ind w:left="960"/>
    </w:pPr>
    <w:rPr>
      <w:sz w:val="44"/>
    </w:rPr>
  </w:style>
  <w:style w:type="paragraph" w:styleId="10">
    <w:name w:val="index 4"/>
    <w:basedOn w:val="1"/>
    <w:next w:val="1"/>
    <w:unhideWhenUsed/>
    <w:qFormat/>
    <w:uiPriority w:val="99"/>
    <w:pPr>
      <w:ind w:left="600" w:leftChars="600"/>
    </w:pPr>
    <w:rPr>
      <w:rFonts w:ascii="Verdana" w:hAnsi="Verdana"/>
    </w:rPr>
  </w:style>
  <w:style w:type="paragraph" w:styleId="11">
    <w:name w:val="Date"/>
    <w:basedOn w:val="1"/>
    <w:next w:val="1"/>
    <w:link w:val="38"/>
    <w:qFormat/>
    <w:uiPriority w:val="0"/>
  </w:style>
  <w:style w:type="paragraph" w:styleId="12">
    <w:name w:val="Balloon Text"/>
    <w:basedOn w:val="1"/>
    <w:link w:val="32"/>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8"/>
    <w:next w:val="1"/>
    <w:qFormat/>
    <w:uiPriority w:val="99"/>
    <w:pPr>
      <w:spacing w:after="120" w:line="275" w:lineRule="atLeast"/>
      <w:textAlignment w:val="baseline"/>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Char"/>
    <w:basedOn w:val="22"/>
    <w:link w:val="14"/>
    <w:qFormat/>
    <w:uiPriority w:val="0"/>
    <w:rPr>
      <w:sz w:val="18"/>
      <w:szCs w:val="18"/>
    </w:rPr>
  </w:style>
  <w:style w:type="character" w:customStyle="1" w:styleId="27">
    <w:name w:val="页脚 Char"/>
    <w:basedOn w:val="22"/>
    <w:link w:val="13"/>
    <w:qFormat/>
    <w:uiPriority w:val="99"/>
    <w:rPr>
      <w:sz w:val="18"/>
      <w:szCs w:val="18"/>
    </w:rPr>
  </w:style>
  <w:style w:type="character" w:customStyle="1" w:styleId="28">
    <w:name w:val="标题 1 Char"/>
    <w:basedOn w:val="22"/>
    <w:link w:val="2"/>
    <w:qFormat/>
    <w:uiPriority w:val="9"/>
    <w:rPr>
      <w:rFonts w:ascii="Times New Roman" w:hAnsi="Times New Roman" w:eastAsia="宋体" w:cs="Times New Roman"/>
      <w:b/>
      <w:bCs/>
      <w:kern w:val="44"/>
      <w:sz w:val="44"/>
      <w:szCs w:val="44"/>
    </w:rPr>
  </w:style>
  <w:style w:type="character" w:customStyle="1" w:styleId="29">
    <w:name w:val="标题 2 Char"/>
    <w:basedOn w:val="22"/>
    <w:link w:val="3"/>
    <w:qFormat/>
    <w:uiPriority w:val="9"/>
    <w:rPr>
      <w:rFonts w:asciiTheme="majorHAnsi" w:hAnsiTheme="majorHAnsi" w:eastAsiaTheme="majorEastAsia" w:cstheme="majorBidi"/>
      <w:b/>
      <w:bCs/>
      <w:sz w:val="32"/>
      <w:szCs w:val="32"/>
    </w:rPr>
  </w:style>
  <w:style w:type="character" w:customStyle="1" w:styleId="30">
    <w:name w:val="标题 3 Char"/>
    <w:basedOn w:val="22"/>
    <w:link w:val="4"/>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9"/>
    <w:qFormat/>
    <w:uiPriority w:val="0"/>
    <w:rPr>
      <w:rFonts w:ascii="Times New Roman" w:hAnsi="Times New Roman" w:eastAsia="宋体" w:cs="Times New Roman"/>
      <w:sz w:val="44"/>
      <w:szCs w:val="20"/>
    </w:rPr>
  </w:style>
  <w:style w:type="character" w:customStyle="1" w:styleId="32">
    <w:name w:val="批注框文本 Char"/>
    <w:basedOn w:val="22"/>
    <w:link w:val="12"/>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2"/>
    <w:link w:val="11"/>
    <w:qFormat/>
    <w:uiPriority w:val="0"/>
    <w:rPr>
      <w:rFonts w:ascii="Times New Roman" w:hAnsi="Times New Roman" w:eastAsia="宋体" w:cs="Times New Roman"/>
      <w:sz w:val="28"/>
      <w:szCs w:val="20"/>
    </w:rPr>
  </w:style>
  <w:style w:type="character" w:customStyle="1" w:styleId="39">
    <w:name w:val="文档结构图 Char"/>
    <w:basedOn w:val="22"/>
    <w:link w:val="6"/>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Arial Unicode MS" w:hAnsi="Arial Unicode MS" w:eastAsia="Arial Unicode MS" w:cs="Arial Unicode MS"/>
      <w:color w:val="000000"/>
      <w:sz w:val="52"/>
      <w:szCs w:val="52"/>
      <w:u w:val="single"/>
    </w:rPr>
  </w:style>
  <w:style w:type="character" w:customStyle="1" w:styleId="43">
    <w:name w:val="font61"/>
    <w:basedOn w:val="22"/>
    <w:qFormat/>
    <w:uiPriority w:val="0"/>
    <w:rPr>
      <w:rFonts w:hint="eastAsia" w:ascii="Arial Unicode MS" w:hAnsi="Arial Unicode MS" w:eastAsia="Arial Unicode MS" w:cs="Arial Unicode MS"/>
      <w:i/>
      <w:iCs/>
      <w:color w:val="000000"/>
      <w:sz w:val="52"/>
      <w:szCs w:val="52"/>
      <w:u w:val="single"/>
    </w:rPr>
  </w:style>
  <w:style w:type="character" w:customStyle="1" w:styleId="44">
    <w:name w:val="font41"/>
    <w:basedOn w:val="22"/>
    <w:qFormat/>
    <w:uiPriority w:val="0"/>
    <w:rPr>
      <w:rFonts w:hint="eastAsia" w:ascii="Arial Unicode MS" w:hAnsi="Arial Unicode MS" w:eastAsia="Arial Unicode MS" w:cs="Arial Unicode MS"/>
      <w:color w:val="000000"/>
      <w:sz w:val="52"/>
      <w:szCs w:val="52"/>
      <w:u w:val="none"/>
    </w:rPr>
  </w:style>
  <w:style w:type="paragraph" w:customStyle="1" w:styleId="45">
    <w:name w:val="格式标4"/>
    <w:basedOn w:val="1"/>
    <w:next w:val="46"/>
    <w:qFormat/>
    <w:uiPriority w:val="0"/>
    <w:pPr>
      <w:keepNext/>
      <w:keepLines/>
      <w:ind w:firstLine="560"/>
      <w:jc w:val="left"/>
      <w:outlineLvl w:val="3"/>
    </w:pPr>
    <w:rPr>
      <w:rFonts w:hint="eastAsia" w:eastAsia="黑体"/>
    </w:rPr>
  </w:style>
  <w:style w:type="paragraph" w:customStyle="1" w:styleId="46">
    <w:name w:val="格式标3"/>
    <w:basedOn w:val="1"/>
    <w:next w:val="1"/>
    <w:link w:val="48"/>
    <w:qFormat/>
    <w:uiPriority w:val="0"/>
    <w:pPr>
      <w:keepNext/>
      <w:keepLines/>
      <w:jc w:val="left"/>
      <w:outlineLvl w:val="2"/>
    </w:pPr>
    <w:rPr>
      <w:rFonts w:eastAsia="黑体"/>
    </w:rPr>
  </w:style>
  <w:style w:type="paragraph" w:customStyle="1" w:styleId="47">
    <w:name w:val="副标题-正"/>
    <w:basedOn w:val="1"/>
    <w:next w:val="1"/>
    <w:qFormat/>
    <w:uiPriority w:val="0"/>
    <w:pPr>
      <w:spacing w:before="100" w:beforeLines="100"/>
      <w:jc w:val="center"/>
    </w:pPr>
    <w:rPr>
      <w:rFonts w:eastAsia="Arial Unicode MS"/>
      <w:sz w:val="44"/>
      <w:szCs w:val="44"/>
    </w:rPr>
  </w:style>
  <w:style w:type="character" w:customStyle="1" w:styleId="48">
    <w:name w:val="格式标3 Char"/>
    <w:link w:val="46"/>
    <w:qFormat/>
    <w:uiPriority w:val="0"/>
    <w:rPr>
      <w:rFonts w:eastAsia="黑体"/>
    </w:rPr>
  </w:style>
  <w:style w:type="paragraph" w:customStyle="1" w:styleId="49">
    <w:name w:val="表内-宋"/>
    <w:basedOn w:val="1"/>
    <w:qFormat/>
    <w:uiPriority w:val="0"/>
    <w:pPr>
      <w:spacing w:line="360" w:lineRule="exact"/>
      <w:jc w:val="left"/>
    </w:pPr>
    <w:rPr>
      <w:rFonts w:hint="eastAsia" w:ascii="宋体" w:hAnsi="宋体" w:cs="仿宋_GB2312"/>
      <w:sz w:val="24"/>
      <w:szCs w:val="24"/>
    </w:rPr>
  </w:style>
  <w:style w:type="paragraph" w:customStyle="1" w:styleId="50">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2081</Words>
  <Characters>2244</Characters>
  <Lines>38</Lines>
  <Paragraphs>10</Paragraphs>
  <TotalTime>27</TotalTime>
  <ScaleCrop>false</ScaleCrop>
  <LinksUpToDate>false</LinksUpToDate>
  <CharactersWithSpaces>2565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2024-09-26T08:45:00Z</dcterms:created>
  <dc:creator>微软用户</dc:creator>
  <cp:lastModifiedBy>网络中心值班</cp:lastModifiedBy>
  <cp:lastPrinted>2021-08-23T01:01:00Z</cp:lastPrinted>
  <dcterms:modified xsi:type="dcterms:W3CDTF">2024-10-28T00:57:31Z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CBB2F7DE690B4521B3F3272F547D7596_13</vt:lpwstr>
  </property>
</Properties>
</file>