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Times New Roman" w:hAnsi="Times New Roman" w:eastAsia="方正小标宋简体" w:cs="Times New Roman"/>
          <w:sz w:val="44"/>
          <w:szCs w:val="32"/>
        </w:rPr>
      </w:pPr>
      <w:r>
        <w:rPr>
          <w:rFonts w:hint="eastAsia" w:ascii="Times New Roman" w:hAnsi="Times New Roman" w:eastAsia="方正小标宋简体" w:cs="Times New Roman"/>
          <w:sz w:val="44"/>
          <w:szCs w:val="32"/>
        </w:rPr>
        <w:t>采购技术参数说明书</w:t>
      </w:r>
    </w:p>
    <w:p>
      <w:pPr>
        <w:spacing w:line="579" w:lineRule="exact"/>
        <w:jc w:val="center"/>
        <w:rPr>
          <w:rFonts w:ascii="Times New Roman" w:hAnsi="Times New Roman" w:eastAsia="方正小标宋简体" w:cs="Times New Roman"/>
          <w:sz w:val="44"/>
          <w:szCs w:val="32"/>
        </w:rPr>
      </w:pPr>
    </w:p>
    <w:p>
      <w:pPr>
        <w:spacing w:line="579" w:lineRule="exact"/>
        <w:outlineLvl w:val="0"/>
        <w:rPr>
          <w:rFonts w:ascii="Times New Roman" w:hAnsi="Times New Roman" w:eastAsia="仿宋_GB2312" w:cs="Times New Roman"/>
          <w:kern w:val="0"/>
          <w:sz w:val="32"/>
          <w:szCs w:val="32"/>
        </w:rPr>
      </w:pPr>
      <w:r>
        <w:rPr>
          <w:rFonts w:hint="eastAsia" w:ascii="Times New Roman" w:hAnsi="Times New Roman" w:eastAsia="黑体" w:cs="Times New Roman"/>
          <w:sz w:val="32"/>
          <w:szCs w:val="32"/>
        </w:rPr>
        <w:t>一、项目名称：</w:t>
      </w:r>
      <w:r>
        <w:rPr>
          <w:rFonts w:hint="eastAsia" w:ascii="Times New Roman" w:hAnsi="Times New Roman" w:eastAsia="仿宋_GB2312" w:cs="Times New Roman"/>
          <w:kern w:val="0"/>
          <w:sz w:val="32"/>
          <w:szCs w:val="32"/>
        </w:rPr>
        <w:t>智慧图书馆教学参考资源平台</w:t>
      </w:r>
    </w:p>
    <w:p>
      <w:pPr>
        <w:spacing w:line="579" w:lineRule="exac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二、最高限价（或项目预算）：</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万元</w:t>
      </w:r>
    </w:p>
    <w:p>
      <w:pPr>
        <w:spacing w:line="579" w:lineRule="exac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三、采购项目需求</w:t>
      </w:r>
    </w:p>
    <w:p>
      <w:pPr>
        <w:spacing w:line="579" w:lineRule="exact"/>
        <w:ind w:firstLine="470" w:firstLineChars="147"/>
        <w:outlineLvl w:val="1"/>
        <w:rPr>
          <w:rFonts w:ascii="Times New Roman" w:hAnsi="Times New Roman" w:eastAsia="楷体" w:cs="Times New Roman"/>
          <w:kern w:val="0"/>
          <w:sz w:val="32"/>
          <w:szCs w:val="32"/>
        </w:rPr>
      </w:pPr>
      <w:r>
        <w:rPr>
          <w:rFonts w:hint="eastAsia" w:ascii="Times New Roman" w:hAnsi="Times New Roman" w:eastAsia="楷体" w:cs="Times New Roman"/>
          <w:kern w:val="0"/>
          <w:sz w:val="32"/>
          <w:szCs w:val="32"/>
        </w:rPr>
        <w:t>（一）技术要求</w:t>
      </w:r>
    </w:p>
    <w:p>
      <w:pPr>
        <w:pStyle w:val="2"/>
        <w:spacing w:line="579" w:lineRule="exact"/>
        <w:ind w:firstLine="640" w:firstLineChars="200"/>
        <w:rPr>
          <w:rFonts w:ascii="Times New Roman" w:hAnsi="Times New Roman" w:eastAsia="仿宋_GB2312" w:cs="宋体"/>
          <w:b w:val="0"/>
          <w:bCs w:val="0"/>
          <w:lang w:val="en-US"/>
        </w:rPr>
      </w:pPr>
      <w:r>
        <w:rPr>
          <w:rFonts w:ascii="Times New Roman" w:hAnsi="Times New Roman" w:eastAsia="仿宋_GB2312" w:cs="宋体"/>
          <w:b w:val="0"/>
          <w:bCs w:val="0"/>
          <w:lang w:val="en-US"/>
        </w:rPr>
        <w:t>1</w:t>
      </w:r>
      <w:r>
        <w:rPr>
          <w:rFonts w:hint="eastAsia" w:ascii="Times New Roman" w:hAnsi="Times New Roman" w:eastAsia="仿宋_GB2312" w:cs="宋体"/>
          <w:b w:val="0"/>
          <w:bCs w:val="0"/>
          <w:lang w:val="en-US"/>
        </w:rPr>
        <w:t>. 功能目标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3"/>
        <w:gridCol w:w="553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rPr>
              <w:t>序号</w:t>
            </w:r>
          </w:p>
        </w:tc>
        <w:tc>
          <w:tcPr>
            <w:tcW w:w="1273" w:type="dxa"/>
          </w:tcPr>
          <w:p>
            <w:pPr>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rPr>
              <w:t>项目名称</w:t>
            </w:r>
          </w:p>
        </w:tc>
        <w:tc>
          <w:tcPr>
            <w:tcW w:w="5531" w:type="dxa"/>
          </w:tcPr>
          <w:p>
            <w:pPr>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rPr>
              <w:t>需要实现的功能或目标</w:t>
            </w:r>
          </w:p>
        </w:tc>
        <w:tc>
          <w:tcPr>
            <w:tcW w:w="788" w:type="dxa"/>
          </w:tcPr>
          <w:p>
            <w:pPr>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仿宋_GB2312" w:hAnsi="宋体" w:eastAsia="仿宋_GB2312" w:cs="Times New Roman"/>
                <w:kern w:val="0"/>
                <w:szCs w:val="21"/>
              </w:rPr>
            </w:pPr>
            <w:r>
              <w:rPr>
                <w:rFonts w:hint="eastAsia" w:ascii="仿宋_GB2312" w:hAnsi="宋体" w:eastAsia="仿宋_GB2312" w:cs="Times New Roman"/>
                <w:kern w:val="0"/>
                <w:szCs w:val="21"/>
              </w:rPr>
              <w:t>1</w:t>
            </w:r>
          </w:p>
        </w:tc>
        <w:tc>
          <w:tcPr>
            <w:tcW w:w="1273" w:type="dxa"/>
            <w:vAlign w:val="center"/>
          </w:tcPr>
          <w:p>
            <w:pPr>
              <w:jc w:val="left"/>
              <w:rPr>
                <w:rFonts w:ascii="仿宋_GB2312" w:hAnsi="宋体" w:eastAsia="仿宋_GB2312" w:cs="Times New Roman"/>
                <w:kern w:val="0"/>
                <w:szCs w:val="21"/>
              </w:rPr>
            </w:pPr>
            <w:r>
              <w:rPr>
                <w:rFonts w:hint="eastAsia" w:ascii="仿宋_GB2312" w:hAnsi="宋体" w:eastAsia="仿宋_GB2312" w:cs="Times New Roman"/>
                <w:kern w:val="0"/>
                <w:szCs w:val="21"/>
              </w:rPr>
              <w:t>智慧图书馆教学参考资源平台</w:t>
            </w:r>
          </w:p>
        </w:tc>
        <w:tc>
          <w:tcPr>
            <w:tcW w:w="5531" w:type="dxa"/>
            <w:vAlign w:val="center"/>
          </w:tcPr>
          <w:p>
            <w:pPr>
              <w:jc w:val="left"/>
              <w:rPr>
                <w:rFonts w:ascii="等线" w:hAnsi="等线" w:eastAsia="等线" w:cs="等线"/>
                <w:kern w:val="0"/>
                <w:szCs w:val="21"/>
              </w:rPr>
            </w:pPr>
            <w:r>
              <w:rPr>
                <w:rFonts w:hint="eastAsia" w:ascii="仿宋_GB2312" w:hAnsi="宋体" w:eastAsia="仿宋_GB2312" w:cs="Times New Roman"/>
                <w:kern w:val="0"/>
                <w:szCs w:val="21"/>
              </w:rPr>
              <w:t>对原教参平台进行升级，提升平台响应速度和运行稳定性。对原教参平台资源（约1.55万册图书）转换成双层PDF并整体迁移。教学参考资源平台支持以大学的院系、专业结构、课程等作为资源的信息组织方式，将加工建设的资源发布到平台上，实现以学院、专业和课程等为浏览层次的教材、教参等资源展示。</w:t>
            </w:r>
          </w:p>
        </w:tc>
        <w:tc>
          <w:tcPr>
            <w:tcW w:w="788" w:type="dxa"/>
            <w:vAlign w:val="center"/>
          </w:tcPr>
          <w:p>
            <w:pPr>
              <w:jc w:val="left"/>
              <w:rPr>
                <w:rFonts w:ascii="仿宋_GB2312" w:hAnsi="宋体" w:eastAsia="仿宋_GB2312" w:cs="Times New Roman"/>
                <w:kern w:val="0"/>
                <w:szCs w:val="21"/>
              </w:rPr>
            </w:pPr>
          </w:p>
        </w:tc>
      </w:tr>
    </w:tbl>
    <w:p>
      <w:pPr>
        <w:pStyle w:val="2"/>
        <w:numPr>
          <w:ilvl w:val="0"/>
          <w:numId w:val="1"/>
        </w:numPr>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适用标准</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060"/>
        <w:gridCol w:w="1146"/>
        <w:gridCol w:w="1458"/>
        <w:gridCol w:w="1073"/>
        <w:gridCol w:w="1183"/>
        <w:gridCol w:w="1331"/>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序号</w:t>
            </w:r>
          </w:p>
        </w:tc>
        <w:tc>
          <w:tcPr>
            <w:tcW w:w="516"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标准号</w:t>
            </w:r>
          </w:p>
        </w:tc>
        <w:tc>
          <w:tcPr>
            <w:tcW w:w="688"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标准名称</w:t>
            </w:r>
          </w:p>
        </w:tc>
        <w:tc>
          <w:tcPr>
            <w:tcW w:w="871"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标准级别</w:t>
            </w:r>
          </w:p>
        </w:tc>
        <w:tc>
          <w:tcPr>
            <w:tcW w:w="645"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标准性质</w:t>
            </w:r>
          </w:p>
        </w:tc>
        <w:tc>
          <w:tcPr>
            <w:tcW w:w="709"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适用范围</w:t>
            </w:r>
          </w:p>
        </w:tc>
        <w:tc>
          <w:tcPr>
            <w:tcW w:w="796"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代码含义</w:t>
            </w:r>
          </w:p>
        </w:tc>
        <w:tc>
          <w:tcPr>
            <w:tcW w:w="408"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Times New Roman"/>
                <w:b/>
                <w:bCs/>
                <w:kern w:val="0"/>
                <w:szCs w:val="21"/>
              </w:rPr>
            </w:pPr>
            <w:r>
              <w:rPr>
                <w:rFonts w:hint="eastAsia" w:ascii="仿宋_GB2312" w:hAnsi="宋体" w:eastAsia="仿宋_GB2312" w:cs="Times New Roman"/>
                <w:b/>
                <w:bCs/>
                <w:kern w:val="0"/>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lang w:bidi="ar"/>
              </w:rPr>
              <w:t>1</w:t>
            </w:r>
          </w:p>
        </w:tc>
        <w:tc>
          <w:tcPr>
            <w:tcW w:w="51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lang w:bidi="ar"/>
              </w:rPr>
              <w:t>GJB 2786A-2009</w:t>
            </w:r>
          </w:p>
        </w:tc>
        <w:tc>
          <w:tcPr>
            <w:tcW w:w="68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lang w:bidi="ar"/>
              </w:rPr>
              <w:t>军用软件开发通用要求</w:t>
            </w:r>
          </w:p>
        </w:tc>
        <w:tc>
          <w:tcPr>
            <w:tcW w:w="87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仿宋_GB2312" w:hAnsi="宋体" w:eastAsia="仿宋_GB2312" w:cs="Times New Roman"/>
                <w:kern w:val="0"/>
                <w:szCs w:val="21"/>
              </w:rPr>
            </w:pPr>
            <w:r>
              <w:rPr>
                <w:rFonts w:hint="eastAsia" w:ascii="仿宋_GB2312" w:hAnsi="宋体" w:eastAsia="仿宋_GB2312" w:cs="Times New Roman"/>
                <w:kern w:val="0"/>
                <w:szCs w:val="21"/>
                <w:lang w:bidi="ar"/>
              </w:rPr>
              <w:t xml:space="preserve">国家标准   </w:t>
            </w:r>
            <w:r>
              <w:rPr>
                <w:rFonts w:hint="eastAsia" w:ascii="PingFang SC" w:hAnsi="PingFang SC" w:eastAsia="PingFang SC" w:cs="PingFang SC"/>
                <w:kern w:val="0"/>
                <w:szCs w:val="21"/>
                <w:lang w:bidi="ar"/>
              </w:rPr>
              <w:t>□</w:t>
            </w:r>
          </w:p>
          <w:p>
            <w:pPr>
              <w:widowControl/>
              <w:rPr>
                <w:rFonts w:ascii="仿宋_GB2312" w:hAnsi="宋体" w:eastAsia="仿宋_GB2312" w:cs="Times New Roman"/>
                <w:kern w:val="0"/>
                <w:szCs w:val="21"/>
              </w:rPr>
            </w:pPr>
            <w:r>
              <w:rPr>
                <w:rFonts w:hint="eastAsia" w:ascii="仿宋_GB2312" w:hAnsi="宋体" w:eastAsia="仿宋_GB2312" w:cs="Times New Roman"/>
                <w:kern w:val="0"/>
                <w:szCs w:val="21"/>
                <w:lang w:bidi="ar"/>
              </w:rPr>
              <w:t xml:space="preserve">军用标准   </w:t>
            </w:r>
            <w:r>
              <w:rPr>
                <w:rFonts w:hint="eastAsia" w:ascii="PingFang SC" w:hAnsi="PingFang SC" w:eastAsia="PingFang SC" w:cs="PingFang SC"/>
                <w:kern w:val="0"/>
                <w:szCs w:val="21"/>
                <w:lang w:bidi="ar"/>
              </w:rPr>
              <w:t>☑</w:t>
            </w:r>
          </w:p>
          <w:p>
            <w:pPr>
              <w:widowControl/>
              <w:rPr>
                <w:rFonts w:ascii="仿宋_GB2312" w:hAnsi="宋体" w:eastAsia="仿宋_GB2312" w:cs="Times New Roman"/>
                <w:kern w:val="0"/>
                <w:szCs w:val="21"/>
              </w:rPr>
            </w:pPr>
            <w:r>
              <w:rPr>
                <w:rFonts w:hint="eastAsia" w:ascii="仿宋_GB2312" w:hAnsi="宋体" w:eastAsia="仿宋_GB2312" w:cs="Times New Roman"/>
                <w:kern w:val="0"/>
                <w:szCs w:val="21"/>
                <w:lang w:bidi="ar"/>
              </w:rPr>
              <w:t xml:space="preserve">行业标准   </w:t>
            </w:r>
            <w:r>
              <w:rPr>
                <w:rFonts w:hint="eastAsia" w:ascii="PingFang SC" w:hAnsi="PingFang SC" w:eastAsia="PingFang SC" w:cs="PingFang SC"/>
                <w:kern w:val="0"/>
                <w:szCs w:val="21"/>
                <w:lang w:bidi="ar"/>
              </w:rPr>
              <w:t>□</w:t>
            </w:r>
          </w:p>
          <w:p>
            <w:pPr>
              <w:widowControl/>
              <w:rPr>
                <w:rFonts w:ascii="仿宋_GB2312" w:hAnsi="宋体" w:eastAsia="仿宋_GB2312" w:cs="Times New Roman"/>
                <w:kern w:val="0"/>
                <w:szCs w:val="21"/>
              </w:rPr>
            </w:pPr>
            <w:r>
              <w:rPr>
                <w:rFonts w:hint="eastAsia" w:ascii="仿宋_GB2312" w:hAnsi="宋体" w:eastAsia="仿宋_GB2312" w:cs="Times New Roman"/>
                <w:kern w:val="0"/>
                <w:szCs w:val="21"/>
                <w:lang w:bidi="ar"/>
              </w:rPr>
              <w:t xml:space="preserve">地方标准及其他标准规范 </w:t>
            </w:r>
            <w:r>
              <w:rPr>
                <w:rFonts w:hint="eastAsia" w:ascii="PingFang SC" w:hAnsi="PingFang SC" w:eastAsia="PingFang SC" w:cs="PingFang SC"/>
                <w:kern w:val="0"/>
                <w:szCs w:val="21"/>
                <w:lang w:bidi="ar"/>
              </w:rPr>
              <w:t>□</w:t>
            </w:r>
          </w:p>
        </w:tc>
        <w:tc>
          <w:tcPr>
            <w:tcW w:w="645"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lang w:bidi="ar"/>
              </w:rPr>
              <w:t>强制性</w:t>
            </w:r>
            <w:r>
              <w:rPr>
                <w:rFonts w:hint="eastAsia" w:ascii="PingFang SC" w:hAnsi="PingFang SC" w:eastAsia="PingFang SC" w:cs="PingFang SC"/>
                <w:kern w:val="0"/>
                <w:szCs w:val="21"/>
                <w:lang w:bidi="ar"/>
              </w:rPr>
              <w:t>☑</w:t>
            </w:r>
          </w:p>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lang w:bidi="ar"/>
              </w:rPr>
              <w:t>推荐性</w:t>
            </w:r>
            <w:r>
              <w:rPr>
                <w:rFonts w:hint="eastAsia" w:ascii="PingFang SC" w:hAnsi="PingFang SC" w:eastAsia="PingFang SC" w:cs="PingFang SC"/>
                <w:kern w:val="0"/>
                <w:szCs w:val="21"/>
                <w:lang w:bidi="ar"/>
              </w:rPr>
              <w:t>□</w:t>
            </w:r>
          </w:p>
        </w:tc>
        <w:tc>
          <w:tcPr>
            <w:tcW w:w="70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仿宋_GB2312" w:hAnsi="宋体" w:eastAsia="仿宋_GB2312" w:cs="Times New Roman"/>
                <w:kern w:val="0"/>
                <w:szCs w:val="21"/>
              </w:rPr>
            </w:pPr>
            <w:r>
              <w:rPr>
                <w:rFonts w:hint="eastAsia" w:ascii="仿宋_GB2312" w:hAnsi="宋体" w:eastAsia="仿宋_GB2312" w:cs="Times New Roman"/>
                <w:kern w:val="0"/>
                <w:szCs w:val="21"/>
                <w:lang w:bidi="ar"/>
              </w:rPr>
              <w:t>适用于需方和开发方获取、开发及维护军用软件（含固件中的软件）</w:t>
            </w:r>
          </w:p>
        </w:tc>
        <w:tc>
          <w:tcPr>
            <w:tcW w:w="79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rPr>
                <w:rFonts w:ascii="仿宋_GB2312" w:hAnsi="宋体" w:eastAsia="仿宋_GB2312" w:cs="Times New Roman"/>
                <w:kern w:val="0"/>
                <w:szCs w:val="21"/>
              </w:rPr>
            </w:pPr>
            <w:r>
              <w:rPr>
                <w:rFonts w:hint="eastAsia" w:ascii="仿宋_GB2312" w:hAnsi="宋体" w:eastAsia="仿宋_GB2312" w:cs="Times New Roman"/>
                <w:kern w:val="0"/>
                <w:szCs w:val="21"/>
                <w:lang w:bidi="ar"/>
              </w:rPr>
              <w:t>编号由国家军用标准的代号（GJB）+国家军用标准发布顺序号（2786A）+国家军用标准发布的年号（200</w:t>
            </w:r>
            <w:r>
              <w:rPr>
                <w:rFonts w:ascii="仿宋_GB2312" w:hAnsi="宋体" w:eastAsia="仿宋_GB2312" w:cs="Times New Roman"/>
                <w:kern w:val="0"/>
                <w:szCs w:val="21"/>
                <w:lang w:bidi="ar"/>
              </w:rPr>
              <w:t>9</w:t>
            </w:r>
            <w:r>
              <w:rPr>
                <w:rFonts w:hint="eastAsia" w:ascii="仿宋_GB2312" w:hAnsi="宋体" w:eastAsia="仿宋_GB2312" w:cs="Times New Roman"/>
                <w:kern w:val="0"/>
                <w:szCs w:val="21"/>
                <w:lang w:bidi="ar"/>
              </w:rPr>
              <w:t>）构成。</w:t>
            </w:r>
          </w:p>
        </w:tc>
        <w:tc>
          <w:tcPr>
            <w:tcW w:w="40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rFonts w:ascii="仿宋_GB2312" w:hAnsi="宋体" w:eastAsia="仿宋_GB2312" w:cs="Times New Roman"/>
                <w:kern w:val="0"/>
                <w:szCs w:val="21"/>
              </w:rPr>
            </w:pPr>
          </w:p>
        </w:tc>
      </w:tr>
    </w:tbl>
    <w:p>
      <w:pPr>
        <w:pStyle w:val="2"/>
        <w:numPr>
          <w:ilvl w:val="0"/>
          <w:numId w:val="1"/>
        </w:numPr>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服务要求</w:t>
      </w:r>
    </w:p>
    <w:p>
      <w:pPr>
        <w:pStyle w:val="3"/>
        <w:spacing w:line="579" w:lineRule="exact"/>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3.1</w:t>
      </w:r>
      <w:r>
        <w:rPr>
          <w:rFonts w:ascii="Times New Roman" w:hAnsi="Times New Roman" w:eastAsia="仿宋_GB2312" w:cs="宋体"/>
          <w:b w:val="0"/>
          <w:sz w:val="32"/>
          <w:szCs w:val="32"/>
        </w:rPr>
        <w:t xml:space="preserve"> </w:t>
      </w:r>
      <w:r>
        <w:rPr>
          <w:rFonts w:hint="eastAsia" w:ascii="Times New Roman" w:hAnsi="Times New Roman" w:eastAsia="仿宋_GB2312" w:cs="宋体"/>
          <w:b w:val="0"/>
          <w:sz w:val="32"/>
          <w:szCs w:val="32"/>
        </w:rPr>
        <w:t>教学参考资源平台</w:t>
      </w:r>
    </w:p>
    <w:p>
      <w:pPr>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以大学的院系、专业结构、课程等作为该平台的信息组织方式，并将整合的资源发布到图书馆网站的首页上，实现以学院、专业和课程等为浏览层次的教材、教参等电子资源的展示系统。</w:t>
      </w:r>
    </w:p>
    <w:p>
      <w:pPr>
        <w:ind w:firstLine="640" w:firstLineChars="200"/>
        <w:rPr>
          <w:rFonts w:ascii="Times New Roman" w:hAnsi="Times New Roman" w:eastAsia="仿宋_GB2312" w:cs="宋体"/>
          <w:sz w:val="32"/>
          <w:szCs w:val="32"/>
        </w:rPr>
      </w:pPr>
      <w:r>
        <w:rPr>
          <w:rFonts w:hint="eastAsia" w:ascii="Times New Roman" w:hAnsi="Times New Roman" w:eastAsia="仿宋_GB2312" w:cs="宋体"/>
          <w:sz w:val="32"/>
          <w:szCs w:val="32"/>
        </w:rPr>
        <w:t>本平台主要包括平台配置、平台功能及版权控制。</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69"/>
        <w:gridCol w:w="588"/>
        <w:gridCol w:w="636"/>
        <w:gridCol w:w="636"/>
        <w:gridCol w:w="1662"/>
        <w:gridCol w:w="2337"/>
        <w:gridCol w:w="100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序号</w:t>
            </w:r>
          </w:p>
        </w:tc>
        <w:tc>
          <w:tcPr>
            <w:tcW w:w="334"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分类</w:t>
            </w:r>
          </w:p>
        </w:tc>
        <w:tc>
          <w:tcPr>
            <w:tcW w:w="345"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一级</w:t>
            </w:r>
          </w:p>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w:t>
            </w:r>
          </w:p>
        </w:tc>
        <w:tc>
          <w:tcPr>
            <w:tcW w:w="373"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二级</w:t>
            </w:r>
          </w:p>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w:t>
            </w:r>
          </w:p>
        </w:tc>
        <w:tc>
          <w:tcPr>
            <w:tcW w:w="373"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三级及以下指标</w:t>
            </w:r>
          </w:p>
        </w:tc>
        <w:tc>
          <w:tcPr>
            <w:tcW w:w="975"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是否作</w:t>
            </w:r>
            <w:bookmarkStart w:id="0" w:name="_GoBack"/>
            <w:bookmarkEnd w:id="0"/>
            <w:r>
              <w:rPr>
                <w:rFonts w:hint="eastAsia" w:ascii="仿宋_GB2312" w:hAnsi="仿宋" w:eastAsia="仿宋_GB2312" w:cs="Times New Roman"/>
                <w:b/>
                <w:bCs/>
                <w:kern w:val="0"/>
                <w:szCs w:val="21"/>
              </w:rPr>
              <w:t>为强制要求及评分因素等</w:t>
            </w:r>
          </w:p>
        </w:tc>
        <w:tc>
          <w:tcPr>
            <w:tcW w:w="1371"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指标要求</w:t>
            </w:r>
          </w:p>
        </w:tc>
        <w:tc>
          <w:tcPr>
            <w:tcW w:w="587"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指标使用说明</w:t>
            </w:r>
          </w:p>
        </w:tc>
        <w:tc>
          <w:tcPr>
            <w:tcW w:w="388"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w:t>
            </w:r>
          </w:p>
        </w:tc>
        <w:tc>
          <w:tcPr>
            <w:tcW w:w="334"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教学参考资源平台</w:t>
            </w:r>
          </w:p>
        </w:tc>
        <w:tc>
          <w:tcPr>
            <w:tcW w:w="34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平台配置</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szCs w:val="21"/>
              </w:rPr>
              <w:t>……</w:t>
            </w:r>
          </w:p>
        </w:tc>
        <w:tc>
          <w:tcPr>
            <w:tcW w:w="373" w:type="pct"/>
            <w:vAlign w:val="center"/>
          </w:tcPr>
          <w:p>
            <w:pPr>
              <w:overflowPunct w:val="0"/>
              <w:spacing w:line="572" w:lineRule="exact"/>
              <w:rPr>
                <w:rFonts w:ascii="等线" w:hAnsi="仿宋" w:eastAsia="等线" w:cs="Times New Roman"/>
                <w:kern w:val="0"/>
                <w:szCs w:val="21"/>
              </w:rPr>
            </w:pPr>
            <w:r>
              <w:rPr>
                <w:rFonts w:hint="eastAsia" w:ascii="仿宋_GB2312" w:hAnsi="仿宋" w:eastAsia="仿宋_GB2312" w:cs="Times New Roman"/>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建议作为重要指标，适当增加分值权重 □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网站设计良好、美观、清晰，结构规划和定位合理，PC端兼容主流的浏览器，支持移动端扩展，不存在CSS等导致的访问异常。支持设置网站IP范围访问，判断IP自动登录获取相应访问权限。</w:t>
            </w:r>
          </w:p>
        </w:tc>
        <w:tc>
          <w:tcPr>
            <w:tcW w:w="587" w:type="pct"/>
            <w:vAlign w:val="center"/>
          </w:tcPr>
          <w:p>
            <w:pPr>
              <w:overflowPunct w:val="0"/>
              <w:spacing w:line="572" w:lineRule="exact"/>
              <w:jc w:val="center"/>
              <w:rPr>
                <w:rFonts w:ascii="等线" w:hAnsi="仿宋" w:eastAsia="等线" w:cs="Times New Roman"/>
                <w:kern w:val="0"/>
                <w:szCs w:val="21"/>
              </w:rPr>
            </w:pPr>
            <w:r>
              <w:rPr>
                <w:rFonts w:hint="eastAsia" w:ascii="仿宋_GB2312" w:hAnsi="仿宋" w:eastAsia="仿宋_GB2312" w:cs="Times New Roman"/>
                <w:kern w:val="0"/>
                <w:szCs w:val="21"/>
              </w:rPr>
              <w:t>根据需求进行选择，兼容性越强越好。</w:t>
            </w:r>
          </w:p>
        </w:tc>
        <w:tc>
          <w:tcPr>
            <w:tcW w:w="388" w:type="pct"/>
            <w:vAlign w:val="center"/>
          </w:tcPr>
          <w:p>
            <w:pPr>
              <w:overflowPunct w:val="0"/>
              <w:spacing w:line="572" w:lineRule="exact"/>
              <w:jc w:val="center"/>
              <w:rPr>
                <w:rFonts w:ascii="等线" w:hAnsi="仿宋" w:eastAsia="等线" w:cs="Times New Roman"/>
                <w:kern w:val="0"/>
                <w:szCs w:val="21"/>
              </w:rPr>
            </w:pPr>
            <w:r>
              <w:rPr>
                <w:rFonts w:ascii="仿宋_GB2312" w:hAnsi="仿宋" w:eastAsia="仿宋_GB2312" w:cs="Times New Roman"/>
                <w:kern w:val="0"/>
                <w:szCs w:val="21"/>
              </w:rPr>
              <w:t>兼容性测试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2</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平台功能</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首页管理</w:t>
            </w:r>
          </w:p>
        </w:tc>
        <w:tc>
          <w:tcPr>
            <w:tcW w:w="373" w:type="pct"/>
            <w:vAlign w:val="center"/>
          </w:tcPr>
          <w:p>
            <w:pPr>
              <w:overflowPunct w:val="0"/>
              <w:spacing w:line="572" w:lineRule="exact"/>
              <w:rPr>
                <w:rFonts w:ascii="等线" w:hAnsi="仿宋" w:eastAsia="等线" w:cs="Times New Roman"/>
                <w:kern w:val="0"/>
                <w:szCs w:val="21"/>
              </w:rPr>
            </w:pPr>
            <w:r>
              <w:rPr>
                <w:rFonts w:hint="eastAsia" w:ascii="仿宋_GB2312" w:hAnsi="仿宋" w:eastAsia="仿宋_GB2312" w:cs="Times New Roman"/>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建议作为重要指标，适当增加分值权重 </w:t>
            </w:r>
            <w:r>
              <w:rPr>
                <w:rFonts w:ascii="Segoe UI Symbol" w:hAnsi="Segoe UI Symbol" w:eastAsia="仿宋_GB2312" w:cs="Segoe UI Symbol"/>
                <w:kern w:val="0"/>
                <w:szCs w:val="21"/>
              </w:rPr>
              <w:t>☑</w:t>
            </w:r>
            <w:r>
              <w:rPr>
                <w:rFonts w:hint="eastAsia" w:ascii="仿宋_GB2312" w:hAnsi="仿宋" w:eastAsia="仿宋_GB2312" w:cs="Times New Roman"/>
                <w:kern w:val="0"/>
                <w:szCs w:val="21"/>
              </w:rPr>
              <w:t xml:space="preserve">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对首页进行个性化设计与统一管理，具有可视化全功能页面设计后台，实现首页的个性化定制和自主管理，体现图书馆的特色。</w:t>
            </w:r>
          </w:p>
        </w:tc>
        <w:tc>
          <w:tcPr>
            <w:tcW w:w="587" w:type="pct"/>
            <w:vMerge w:val="restart"/>
            <w:vAlign w:val="center"/>
          </w:tcPr>
          <w:p>
            <w:pPr>
              <w:overflowPunct w:val="0"/>
              <w:spacing w:line="572" w:lineRule="exact"/>
              <w:jc w:val="center"/>
              <w:rPr>
                <w:rFonts w:ascii="等线" w:hAnsi="仿宋" w:eastAsia="等线" w:cs="Times New Roman"/>
                <w:kern w:val="0"/>
                <w:szCs w:val="21"/>
              </w:rPr>
            </w:pPr>
            <w:r>
              <w:rPr>
                <w:rFonts w:hint="eastAsia" w:ascii="仿宋_GB2312" w:hAnsi="仿宋" w:eastAsia="仿宋_GB2312" w:cs="Times New Roman"/>
                <w:kern w:val="0"/>
                <w:szCs w:val="21"/>
              </w:rPr>
              <w:t>根据需求进行选择，功能越完善越好。</w:t>
            </w:r>
          </w:p>
        </w:tc>
        <w:tc>
          <w:tcPr>
            <w:tcW w:w="388" w:type="pct"/>
            <w:vAlign w:val="center"/>
          </w:tcPr>
          <w:p>
            <w:pPr>
              <w:overflowPunct w:val="0"/>
              <w:spacing w:line="572" w:lineRule="exact"/>
              <w:jc w:val="center"/>
              <w:rPr>
                <w:rFonts w:ascii="等线" w:hAnsi="仿宋"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ascii="仿宋_GB2312" w:hAnsi="仿宋" w:eastAsia="仿宋_GB2312" w:cs="Times New Roman"/>
                <w:kern w:val="0"/>
                <w:szCs w:val="21"/>
              </w:rPr>
              <w:t>3</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用户管理</w:t>
            </w:r>
          </w:p>
        </w:tc>
        <w:tc>
          <w:tcPr>
            <w:tcW w:w="373" w:type="pct"/>
            <w:vAlign w:val="center"/>
          </w:tcPr>
          <w:p>
            <w:pPr>
              <w:overflowPunct w:val="0"/>
              <w:spacing w:line="572" w:lineRule="exact"/>
              <w:jc w:val="center"/>
              <w:rPr>
                <w:rFonts w:ascii="等线" w:hAnsi="仿宋" w:eastAsia="等线"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对接大学统一身份认证系统、图书馆业务管理系统，实现用户登录。并按照不同的用户角色定义系统功能和电子资源的访问权限、版权</w:t>
            </w:r>
            <w:r>
              <w:rPr>
                <w:rFonts w:ascii="仿宋_GB2312" w:hAnsi="仿宋" w:eastAsia="仿宋_GB2312" w:cs="Times New Roman"/>
                <w:kern w:val="0"/>
                <w:szCs w:val="21"/>
              </w:rPr>
              <w:t>控制策略。</w:t>
            </w:r>
            <w:r>
              <w:rPr>
                <w:rFonts w:hint="eastAsia" w:ascii="仿宋_GB2312" w:hAnsi="仿宋" w:eastAsia="仿宋_GB2312" w:cs="Times New Roman"/>
                <w:kern w:val="0"/>
                <w:szCs w:val="21"/>
              </w:rPr>
              <w:t>针对用户信息管理，可进行批量或者单次添加。</w:t>
            </w:r>
          </w:p>
        </w:tc>
        <w:tc>
          <w:tcPr>
            <w:tcW w:w="587" w:type="pct"/>
            <w:vMerge w:val="continue"/>
            <w:vAlign w:val="center"/>
          </w:tcPr>
          <w:p>
            <w:pPr>
              <w:overflowPunct w:val="0"/>
              <w:spacing w:line="572" w:lineRule="exact"/>
              <w:jc w:val="center"/>
              <w:rPr>
                <w:rFonts w:ascii="等线" w:hAnsi="仿宋" w:eastAsia="等线" w:cs="Times New Roman"/>
                <w:kern w:val="0"/>
                <w:szCs w:val="21"/>
              </w:rPr>
            </w:pPr>
          </w:p>
        </w:tc>
        <w:tc>
          <w:tcPr>
            <w:tcW w:w="388" w:type="pct"/>
            <w:vAlign w:val="center"/>
          </w:tcPr>
          <w:p>
            <w:pPr>
              <w:overflowPunct w:val="0"/>
              <w:spacing w:line="572" w:lineRule="exact"/>
              <w:jc w:val="center"/>
              <w:rPr>
                <w:rFonts w:ascii="等线" w:hAnsi="仿宋" w:eastAsia="等线"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ascii="仿宋_GB2312" w:hAnsi="仿宋" w:eastAsia="仿宋_GB2312" w:cs="Times New Roman"/>
                <w:kern w:val="0"/>
                <w:szCs w:val="21"/>
              </w:rPr>
              <w:t>4</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课程数据管理</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课程元数据管理</w:t>
            </w:r>
          </w:p>
        </w:tc>
        <w:tc>
          <w:tcPr>
            <w:tcW w:w="975"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平台提供课程基础字段库，包括自定义字段，可基于学校实际情况，自定义教参资源管理平台的课程数据标准，建立课程的元数据字段模板，包括课程代码、课程名称、任课教师、学年学期、课程属性、课程封面等，同时，可以对字段的检索、聚类属性进行设置。</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ascii="仿宋_GB2312" w:hAnsi="仿宋" w:eastAsia="仿宋_GB2312" w:cs="Times New Roman"/>
                <w:kern w:val="0"/>
                <w:szCs w:val="21"/>
              </w:rPr>
              <w:t>5</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课程数据导入</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基于教参所需要的的课程字段，及全校各学院开课课程目录及对应的教材数据，将课程字段按模板导入至教参后台，每学期导入一次。导入方式上支持批量导入和单次添加。</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ascii="仿宋_GB2312" w:hAnsi="仿宋" w:eastAsia="仿宋_GB2312" w:cs="Times New Roman"/>
                <w:kern w:val="0"/>
                <w:szCs w:val="21"/>
              </w:rPr>
              <w:t>6</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课程目录管理</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课程录入后，在教参后台对课程数据进行增删改查，可对课程目录进行统一管理。</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ascii="仿宋_GB2312" w:hAnsi="仿宋" w:eastAsia="仿宋_GB2312" w:cs="Times New Roman"/>
                <w:kern w:val="0"/>
                <w:szCs w:val="21"/>
              </w:rPr>
              <w:t>7</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课程教参资源管理</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在每一条课程数据下，会对该课程的教材教参做聚合展示，同时，也可以对相关教材教参数据直接进行删除操作。</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8</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教参资源管理</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元数据管理</w:t>
            </w:r>
          </w:p>
        </w:tc>
        <w:tc>
          <w:tcPr>
            <w:tcW w:w="975"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教参资源元数据支持文献类型自定义，支持通用的文献资源类型，如图书、期刊、报纸、学位论文等，同时，对于学校的特色资源，也支持在平台上自定义文献类型，配置标准的字段表，支持各类资源的存储。文献字段及字段属性自定义，对各文献类型，以及自定义文献类型的字段，可以做标准配置，同时，对字段的检索、聚类、列表页是否展示的属性进行设置。</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教参资源支持自定义分类管理，支持根据研究生、本科生，按照不同的学期对教材教参数据进行分类管理，满足不同层次、不同学期分批管理的需求。教材教参资源管理，在资源管理页面，可对平台的教材教参资源进行统一管理，包括资源的新增、导出、编辑、删除等。在资源新增上，需选择某一门课程进行资源的添加。</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9</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全文管理</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对接图书馆O</w:t>
            </w:r>
            <w:r>
              <w:rPr>
                <w:rFonts w:ascii="仿宋_GB2312" w:hAnsi="仿宋" w:eastAsia="仿宋_GB2312" w:cs="Times New Roman"/>
                <w:kern w:val="0"/>
                <w:szCs w:val="21"/>
              </w:rPr>
              <w:t>PAC</w:t>
            </w:r>
            <w:r>
              <w:rPr>
                <w:rFonts w:hint="eastAsia" w:ascii="仿宋_GB2312" w:hAnsi="仿宋" w:eastAsia="仿宋_GB2312" w:cs="Times New Roman"/>
                <w:kern w:val="0"/>
                <w:szCs w:val="21"/>
              </w:rPr>
              <w:t>系统，实现已入藏教学参考</w:t>
            </w:r>
            <w:r>
              <w:rPr>
                <w:rFonts w:ascii="仿宋_GB2312" w:hAnsi="仿宋" w:eastAsia="仿宋_GB2312" w:cs="Times New Roman"/>
                <w:kern w:val="0"/>
                <w:szCs w:val="21"/>
              </w:rPr>
              <w:t>资源</w:t>
            </w:r>
            <w:r>
              <w:rPr>
                <w:rFonts w:hint="eastAsia" w:ascii="仿宋_GB2312" w:hAnsi="仿宋" w:eastAsia="仿宋_GB2312" w:cs="Times New Roman"/>
                <w:kern w:val="0"/>
                <w:szCs w:val="21"/>
              </w:rPr>
              <w:t>的匹配。与图书馆荐购系统对接，实现未入藏教学参考</w:t>
            </w:r>
            <w:r>
              <w:rPr>
                <w:rFonts w:ascii="仿宋_GB2312" w:hAnsi="仿宋" w:eastAsia="仿宋_GB2312" w:cs="Times New Roman"/>
                <w:kern w:val="0"/>
                <w:szCs w:val="21"/>
              </w:rPr>
              <w:t>资源的采购推荐；</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10</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资源审核机制</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用户前台资源上传，用户可根据课程上传对应的资源。管理员后台资源审核，前台用户上传的推荐资源，可同步至管理员后台，图书馆管理员在后台进行统一的审核处理。审核通过后，资源会发布到前台对应课程下。</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11</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权限管理</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课程申请与审核</w:t>
            </w:r>
          </w:p>
        </w:tc>
        <w:tc>
          <w:tcPr>
            <w:tcW w:w="975"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用户访问教参门户时，首先对用户身份进行验证，根据后台课程管理中每门课程下的用户信息，判断用户可查看的课程范围，用户可查看已选修的课程以及获取课程下的教材教参文献资源。当用户需要增加选修或访问其他资源时，需要在平台中提交课程查看申请，管理员审核通过后，才能继续访问或获取资源。</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12</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课程审核人员设置</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支持在管理员后台，由超级管理员设置处理课程申请审核的审核人员，并可对每位审核人员需要处理的申请来源单位进行设置，使审核人员固定只处理来自各自管理的学院范围内的课程申请。</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13</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全文开放权限设置</w:t>
            </w:r>
          </w:p>
        </w:tc>
        <w:tc>
          <w:tcPr>
            <w:tcW w:w="975" w:type="pct"/>
            <w:vMerge w:val="continue"/>
            <w:vAlign w:val="center"/>
          </w:tcPr>
          <w:p>
            <w:pPr>
              <w:overflowPunct w:val="0"/>
              <w:spacing w:line="572" w:lineRule="exact"/>
              <w:rPr>
                <w:rFonts w:ascii="仿宋_GB2312" w:hAnsi="仿宋" w:eastAsia="仿宋_GB2312" w:cs="Times New Roman"/>
                <w:kern w:val="0"/>
                <w:szCs w:val="21"/>
              </w:rPr>
            </w:pP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前台门户登录管理，教参门户网站可根据大学版权要求，对登录权限做管理，可将平台设置为登录后才可访问，或者不登录就可访问。登录权限控制，管理员可在后台对用户登录后的全文访问权限按角色控制，可设置所有单位用户登录后都可访问全部的全文权限，或者给不同的角色，按不同的文献类型的资源设置查看范围。</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Merge w:val="continue"/>
            <w:vAlign w:val="center"/>
          </w:tcPr>
          <w:p>
            <w:pPr>
              <w:overflowPunct w:val="0"/>
              <w:spacing w:line="572" w:lineRule="exact"/>
              <w:rPr>
                <w:rFonts w:ascii="仿宋_GB2312" w:hAnsi="仿宋"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14</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统计分析</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提供教参平台整体的资源总量、采集的资讯总量统计，以及不同文献类型的资源占比情况，资源的更新趋势。提供教参平台访问总量、独立访问ip数、首页访问量、资源详情页访问量统计及趋势统计，在资源检索和使用上，对访问的TOP200的资源、热门检索词等进行统计。</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15</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系统设置</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支持资源回收站功能，对于已删除的资源，可以在回收站恢复或者彻底删除。可分别查看已删除课程数据与已删除教参资源。</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16</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敏感词设置</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支持后台设置敏感词，对于已添加的敏感词在前台以*号展示。</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17</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检索功能</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平台实现对全平台课程资源进行统一检索，支持多种检索模式，搜索结果支持多种排序方式。在检索结果页，自动对检索结果进行分析，按照后台配置，形成课程属性、学院、学年学期、首字母等多种聚类，并支持不同聚类之间的组合筛选。用户根据实际需要进行任意维度的组配检索、自由扩检和缩检，从而实现课程资源的精炼聚类和精准化搜索。</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18</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浏览功能</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用户可以根据本校的专业树，依次浏览学院、专业、课程、教材及教参的信息。用户可以对权限范围内的所有教材教参资料进行全文浏览。</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19</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个性化服务功能</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建议作为重要指标，适当增加分值权重 </w:t>
            </w:r>
            <w:r>
              <w:rPr>
                <w:rFonts w:ascii="Segoe UI Symbol" w:hAnsi="Segoe UI Symbol" w:eastAsia="仿宋_GB2312" w:cs="Segoe UI Symbol"/>
                <w:kern w:val="0"/>
                <w:szCs w:val="21"/>
              </w:rPr>
              <w:t>☑</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通过系统认证的用户在个性化服务功能中可以认领或推荐课程相关参考书、购书推荐等。支持用户完善个人身份信息后自动获取系统推荐的课程资源。</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20</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Merge w:val="continue"/>
            <w:vAlign w:val="center"/>
          </w:tcPr>
          <w:p>
            <w:pPr>
              <w:overflowPunct w:val="0"/>
              <w:spacing w:line="572" w:lineRule="exact"/>
              <w:rPr>
                <w:rFonts w:ascii="仿宋_GB2312" w:hAnsi="仿宋" w:eastAsia="仿宋_GB2312" w:cs="Times New Roman"/>
                <w:kern w:val="0"/>
                <w:szCs w:val="21"/>
              </w:rPr>
            </w:pP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系统帮助</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能帮助用户了解该平台的各项功能。</w:t>
            </w:r>
          </w:p>
        </w:tc>
        <w:tc>
          <w:tcPr>
            <w:tcW w:w="587" w:type="pct"/>
            <w:vMerge w:val="continue"/>
            <w:vAlign w:val="center"/>
          </w:tcPr>
          <w:p>
            <w:pPr>
              <w:overflowPunct w:val="0"/>
              <w:spacing w:line="572" w:lineRule="exact"/>
              <w:rPr>
                <w:rFonts w:ascii="仿宋_GB2312" w:hAnsi="仿宋" w:eastAsia="仿宋_GB2312" w:cs="Times New Roman"/>
                <w:kern w:val="0"/>
                <w:szCs w:val="21"/>
              </w:rPr>
            </w:pP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21</w:t>
            </w:r>
          </w:p>
        </w:tc>
        <w:tc>
          <w:tcPr>
            <w:tcW w:w="334" w:type="pct"/>
            <w:vMerge w:val="continue"/>
            <w:vAlign w:val="center"/>
          </w:tcPr>
          <w:p>
            <w:pPr>
              <w:overflowPunct w:val="0"/>
              <w:spacing w:line="572" w:lineRule="exact"/>
              <w:rPr>
                <w:rFonts w:ascii="仿宋_GB2312" w:hAnsi="仿宋" w:eastAsia="仿宋_GB2312" w:cs="Times New Roman"/>
                <w:kern w:val="0"/>
                <w:szCs w:val="21"/>
              </w:rPr>
            </w:pPr>
          </w:p>
        </w:tc>
        <w:tc>
          <w:tcPr>
            <w:tcW w:w="34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版权控制</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75"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37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在线全文阅读时，需携带签名秘钥才能进行访问，且明文数据使用分段加密传输，防止教参数据外泄。动态加盖水印，如版权信息和当前用户或访问终端相关信息，防止恶意获取和传播。</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对教学参考资源平台的用户访问权限和使用权限均进行限制。对接客户端软件，用于教学参考平台资源的全文下载阅读。</w:t>
            </w:r>
          </w:p>
        </w:tc>
        <w:tc>
          <w:tcPr>
            <w:tcW w:w="587"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根据需求进行选择，保护版权</w:t>
            </w:r>
          </w:p>
        </w:tc>
        <w:tc>
          <w:tcPr>
            <w:tcW w:w="3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bl>
    <w:p>
      <w:pPr>
        <w:pStyle w:val="3"/>
        <w:spacing w:line="579" w:lineRule="exact"/>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3.</w:t>
      </w:r>
      <w:r>
        <w:rPr>
          <w:rFonts w:ascii="Times New Roman" w:hAnsi="Times New Roman" w:eastAsia="仿宋_GB2312" w:cs="宋体"/>
          <w:b w:val="0"/>
          <w:sz w:val="32"/>
          <w:szCs w:val="32"/>
        </w:rPr>
        <w:t>2</w:t>
      </w:r>
      <w:r>
        <w:rPr>
          <w:rFonts w:hint="eastAsia" w:ascii="Times New Roman" w:hAnsi="Times New Roman" w:eastAsia="仿宋_GB2312" w:cs="宋体"/>
          <w:b w:val="0"/>
          <w:sz w:val="32"/>
          <w:szCs w:val="32"/>
        </w:rPr>
        <w:t xml:space="preserve"> 部署实施要求</w:t>
      </w:r>
    </w:p>
    <w:tbl>
      <w:tblPr>
        <w:tblStyle w:val="11"/>
        <w:tblpPr w:leftFromText="180" w:rightFromText="180" w:vertAnchor="text" w:horzAnchor="page" w:tblpXSpec="center" w:tblpY="540"/>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89"/>
        <w:gridCol w:w="601"/>
        <w:gridCol w:w="636"/>
        <w:gridCol w:w="1681"/>
        <w:gridCol w:w="2386"/>
        <w:gridCol w:w="1024"/>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序号</w:t>
            </w:r>
          </w:p>
        </w:tc>
        <w:tc>
          <w:tcPr>
            <w:tcW w:w="346"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分类</w:t>
            </w:r>
          </w:p>
        </w:tc>
        <w:tc>
          <w:tcPr>
            <w:tcW w:w="353"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一级</w:t>
            </w:r>
          </w:p>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w:t>
            </w:r>
          </w:p>
        </w:tc>
        <w:tc>
          <w:tcPr>
            <w:tcW w:w="373"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二级</w:t>
            </w:r>
          </w:p>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及以下指标</w:t>
            </w:r>
          </w:p>
        </w:tc>
        <w:tc>
          <w:tcPr>
            <w:tcW w:w="986"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是否作为强制要求及评分因素等</w:t>
            </w:r>
          </w:p>
        </w:tc>
        <w:tc>
          <w:tcPr>
            <w:tcW w:w="1400"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指标要求</w:t>
            </w:r>
          </w:p>
        </w:tc>
        <w:tc>
          <w:tcPr>
            <w:tcW w:w="601"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指标使用说明</w:t>
            </w:r>
          </w:p>
        </w:tc>
        <w:tc>
          <w:tcPr>
            <w:tcW w:w="688" w:type="pct"/>
            <w:vAlign w:val="center"/>
          </w:tcPr>
          <w:p>
            <w:pPr>
              <w:overflowPunct w:val="0"/>
              <w:spacing w:line="572" w:lineRule="exact"/>
              <w:jc w:val="center"/>
              <w:rPr>
                <w:rFonts w:ascii="仿宋_GB2312" w:hAnsi="仿宋" w:eastAsia="仿宋_GB2312" w:cs="Times New Roman"/>
                <w:b/>
                <w:bCs/>
                <w:kern w:val="0"/>
                <w:szCs w:val="21"/>
              </w:rPr>
            </w:pPr>
            <w:r>
              <w:rPr>
                <w:rFonts w:hint="eastAsia" w:ascii="仿宋_GB2312" w:hAnsi="仿宋" w:eastAsia="仿宋_GB2312" w:cs="Times New Roman"/>
                <w:b/>
                <w:bCs/>
                <w:kern w:val="0"/>
                <w:szCs w:val="21"/>
              </w:rPr>
              <w:t>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1</w:t>
            </w:r>
          </w:p>
        </w:tc>
        <w:tc>
          <w:tcPr>
            <w:tcW w:w="346" w:type="pct"/>
            <w:vMerge w:val="restar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部署实施要求</w:t>
            </w:r>
          </w:p>
        </w:tc>
        <w:tc>
          <w:tcPr>
            <w:tcW w:w="35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数据迁移</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86"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强制要求 </w:t>
            </w:r>
            <w:r>
              <w:rPr>
                <w:rFonts w:ascii="Segoe UI Symbol" w:hAnsi="Segoe UI Symbol" w:eastAsia="仿宋_GB2312" w:cs="Segoe UI Symbol"/>
                <w:kern w:val="0"/>
                <w:szCs w:val="21"/>
              </w:rPr>
              <w:t>☑</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w:t>
            </w:r>
            <w:r>
              <w:rPr>
                <w:rFonts w:ascii="仿宋_GB2312" w:hAnsi="仿宋" w:eastAsia="仿宋_GB2312" w:cs="Times New Roman"/>
                <w:kern w:val="0"/>
                <w:szCs w:val="21"/>
              </w:rPr>
              <w:t xml:space="preserve"> </w:t>
            </w:r>
            <w:r>
              <w:rPr>
                <w:rFonts w:hint="eastAsia" w:ascii="仿宋_GB2312" w:hAnsi="仿宋" w:eastAsia="仿宋_GB2312" w:cs="Times New Roman"/>
                <w:kern w:val="0"/>
                <w:szCs w:val="21"/>
              </w:rPr>
              <w:t>□</w:t>
            </w:r>
          </w:p>
        </w:tc>
        <w:tc>
          <w:tcPr>
            <w:tcW w:w="1400"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根据用户要求，迁移原教参平台数据（约1.55万册图书）并转换为双层PDF格式。</w:t>
            </w:r>
          </w:p>
        </w:tc>
        <w:tc>
          <w:tcPr>
            <w:tcW w:w="60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_GB2312" w:eastAsia="仿宋_GB2312" w:cs="仿宋_GB2312"/>
                <w:szCs w:val="21"/>
                <w:lang w:bidi="ar"/>
              </w:rPr>
              <w:t>根据需求进行选择，</w:t>
            </w:r>
            <w:r>
              <w:rPr>
                <w:rFonts w:hint="eastAsia" w:ascii="仿宋_GB2312" w:hAnsi="仿宋" w:eastAsia="仿宋_GB2312" w:cs="Times New Roman"/>
                <w:kern w:val="0"/>
                <w:szCs w:val="21"/>
              </w:rPr>
              <w:t>数据升级</w:t>
            </w:r>
          </w:p>
        </w:tc>
        <w:tc>
          <w:tcPr>
            <w:tcW w:w="6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2</w:t>
            </w:r>
          </w:p>
        </w:tc>
        <w:tc>
          <w:tcPr>
            <w:tcW w:w="346" w:type="pct"/>
            <w:vMerge w:val="continue"/>
            <w:vAlign w:val="center"/>
          </w:tcPr>
          <w:p>
            <w:pPr>
              <w:overflowPunct w:val="0"/>
              <w:spacing w:line="572" w:lineRule="exact"/>
              <w:rPr>
                <w:rFonts w:ascii="仿宋_GB2312" w:hAnsi="仿宋" w:eastAsia="仿宋_GB2312" w:cs="Times New Roman"/>
                <w:kern w:val="0"/>
                <w:szCs w:val="21"/>
              </w:rPr>
            </w:pPr>
          </w:p>
        </w:tc>
        <w:tc>
          <w:tcPr>
            <w:tcW w:w="35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开发经验</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86"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w:t>
            </w:r>
            <w:r>
              <w:rPr>
                <w:rFonts w:ascii="Segoe UI Symbol" w:hAnsi="Segoe UI Symbol" w:eastAsia="仿宋_GB2312" w:cs="Segoe UI Symbol"/>
                <w:kern w:val="0"/>
                <w:szCs w:val="21"/>
              </w:rPr>
              <w:t>☑</w:t>
            </w:r>
            <w:r>
              <w:rPr>
                <w:rFonts w:hint="eastAsia" w:ascii="仿宋_GB2312" w:hAnsi="仿宋" w:eastAsia="仿宋_GB2312" w:cs="Times New Roman"/>
                <w:kern w:val="0"/>
                <w:szCs w:val="21"/>
              </w:rPr>
              <w:t xml:space="preserve">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w:t>
            </w:r>
            <w:r>
              <w:rPr>
                <w:rFonts w:ascii="仿宋_GB2312" w:hAnsi="仿宋" w:eastAsia="仿宋_GB2312" w:cs="Times New Roman"/>
                <w:kern w:val="0"/>
                <w:szCs w:val="21"/>
              </w:rPr>
              <w:t xml:space="preserve"> </w:t>
            </w:r>
            <w:r>
              <w:rPr>
                <w:rFonts w:hint="eastAsia" w:ascii="仿宋_GB2312" w:hAnsi="仿宋" w:eastAsia="仿宋_GB2312" w:cs="Times New Roman"/>
                <w:kern w:val="0"/>
                <w:szCs w:val="21"/>
              </w:rPr>
              <w:t>□</w:t>
            </w:r>
          </w:p>
        </w:tc>
        <w:tc>
          <w:tcPr>
            <w:tcW w:w="1400"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近五年公司有至少一家以上的高校图书馆教参平台开发经验。</w:t>
            </w:r>
          </w:p>
        </w:tc>
        <w:tc>
          <w:tcPr>
            <w:tcW w:w="60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_GB2312" w:eastAsia="仿宋_GB2312" w:cs="仿宋_GB2312"/>
                <w:szCs w:val="21"/>
                <w:lang w:bidi="ar"/>
              </w:rPr>
              <w:t>根据需求进行选择，</w:t>
            </w:r>
            <w:r>
              <w:rPr>
                <w:rFonts w:hint="eastAsia" w:ascii="仿宋_GB2312" w:hAnsi="仿宋" w:eastAsia="仿宋_GB2312" w:cs="Times New Roman"/>
                <w:kern w:val="0"/>
                <w:szCs w:val="21"/>
              </w:rPr>
              <w:t>资质要求</w:t>
            </w:r>
          </w:p>
        </w:tc>
        <w:tc>
          <w:tcPr>
            <w:tcW w:w="6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查看厂商产品自声明文件或者产品说明书（规格书）或者公开发布的宣传彩页。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3</w:t>
            </w:r>
          </w:p>
        </w:tc>
        <w:tc>
          <w:tcPr>
            <w:tcW w:w="346" w:type="pct"/>
            <w:vMerge w:val="continue"/>
            <w:vAlign w:val="center"/>
          </w:tcPr>
          <w:p>
            <w:pPr>
              <w:overflowPunct w:val="0"/>
              <w:spacing w:line="572" w:lineRule="exact"/>
              <w:rPr>
                <w:rFonts w:ascii="仿宋_GB2312" w:hAnsi="仿宋" w:eastAsia="仿宋_GB2312" w:cs="Times New Roman"/>
                <w:kern w:val="0"/>
                <w:szCs w:val="21"/>
              </w:rPr>
            </w:pPr>
          </w:p>
        </w:tc>
        <w:tc>
          <w:tcPr>
            <w:tcW w:w="35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技术支持</w:t>
            </w:r>
          </w:p>
        </w:tc>
        <w:tc>
          <w:tcPr>
            <w:tcW w:w="37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w:t>
            </w:r>
          </w:p>
        </w:tc>
        <w:tc>
          <w:tcPr>
            <w:tcW w:w="986"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强制要求 </w:t>
            </w:r>
            <w:r>
              <w:rPr>
                <w:rFonts w:ascii="Segoe UI Symbol" w:hAnsi="Segoe UI Symbol" w:eastAsia="仿宋_GB2312" w:cs="Segoe UI Symbol"/>
                <w:kern w:val="0"/>
                <w:szCs w:val="21"/>
              </w:rPr>
              <w:t>☑</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400"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提供模块的源代码（含注释说明）并对馆内技术人员进行相关开发培训和开发支持。平台上线后续对平台操作人员、管理人员等各类业务相关人员进行培训，并提供相应的培训教材、操作手册等。验收后一年内提供技术维护及BUG解决。</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在免费运维期中需提供客服电话服务，远程在线服务，包含邮件、即时通讯工具、远程桌面等维护方式。</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对于导致平台服务停止的故障，接到采购人报修后30分钟内响应，2小时内排除故障或提供应急措施；</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对于平台功能增强性的需求，接到采购人的明确需求后2天内响应，做出需求评估和提供需求改造时间表。</w:t>
            </w:r>
          </w:p>
        </w:tc>
        <w:tc>
          <w:tcPr>
            <w:tcW w:w="60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_GB2312" w:eastAsia="仿宋_GB2312" w:cs="仿宋_GB2312"/>
                <w:szCs w:val="21"/>
                <w:lang w:bidi="ar"/>
              </w:rPr>
              <w:t>根据需求进行选择，</w:t>
            </w:r>
            <w:r>
              <w:rPr>
                <w:rFonts w:hint="eastAsia" w:ascii="仿宋_GB2312" w:hAnsi="仿宋" w:eastAsia="仿宋_GB2312" w:cs="Times New Roman"/>
                <w:kern w:val="0"/>
                <w:szCs w:val="21"/>
              </w:rPr>
              <w:t>培训与维护</w:t>
            </w:r>
          </w:p>
        </w:tc>
        <w:tc>
          <w:tcPr>
            <w:tcW w:w="6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 w:type="pct"/>
            <w:vAlign w:val="center"/>
          </w:tcPr>
          <w:p>
            <w:pPr>
              <w:overflowPunct w:val="0"/>
              <w:spacing w:line="572" w:lineRule="exact"/>
              <w:jc w:val="center"/>
              <w:rPr>
                <w:rFonts w:ascii="仿宋_GB2312" w:hAnsi="仿宋" w:eastAsia="仿宋_GB2312" w:cs="Times New Roman"/>
                <w:kern w:val="0"/>
                <w:szCs w:val="21"/>
              </w:rPr>
            </w:pPr>
            <w:r>
              <w:rPr>
                <w:rFonts w:hint="eastAsia" w:ascii="仿宋_GB2312" w:hAnsi="仿宋" w:eastAsia="仿宋_GB2312" w:cs="Times New Roman"/>
                <w:kern w:val="0"/>
                <w:szCs w:val="21"/>
              </w:rPr>
              <w:t>4</w:t>
            </w:r>
          </w:p>
        </w:tc>
        <w:tc>
          <w:tcPr>
            <w:tcW w:w="346" w:type="pct"/>
            <w:vMerge w:val="continue"/>
            <w:vAlign w:val="center"/>
          </w:tcPr>
          <w:p>
            <w:pPr>
              <w:overflowPunct w:val="0"/>
              <w:spacing w:line="572" w:lineRule="exact"/>
              <w:rPr>
                <w:rFonts w:ascii="仿宋_GB2312" w:hAnsi="仿宋" w:eastAsia="仿宋_GB2312" w:cs="Times New Roman"/>
                <w:kern w:val="0"/>
                <w:szCs w:val="21"/>
              </w:rPr>
            </w:pPr>
          </w:p>
        </w:tc>
        <w:tc>
          <w:tcPr>
            <w:tcW w:w="353"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功能细节</w:t>
            </w:r>
          </w:p>
        </w:tc>
        <w:tc>
          <w:tcPr>
            <w:tcW w:w="373" w:type="pct"/>
            <w:vAlign w:val="center"/>
          </w:tcPr>
          <w:p>
            <w:pPr>
              <w:overflowPunct w:val="0"/>
              <w:spacing w:line="572" w:lineRule="exact"/>
              <w:rPr>
                <w:rFonts w:ascii="仿宋_GB2312" w:hAnsi="仿宋" w:eastAsia="仿宋_GB2312" w:cs="Times New Roman"/>
                <w:kern w:val="0"/>
                <w:szCs w:val="21"/>
              </w:rPr>
            </w:pPr>
          </w:p>
        </w:tc>
        <w:tc>
          <w:tcPr>
            <w:tcW w:w="986"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强制要求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 xml:space="preserve">评分因素 </w:t>
            </w:r>
            <w:r>
              <w:rPr>
                <w:rFonts w:ascii="Segoe UI Symbol" w:hAnsi="Segoe UI Symbol" w:eastAsia="仿宋_GB2312" w:cs="Segoe UI Symbol"/>
                <w:kern w:val="0"/>
                <w:szCs w:val="21"/>
              </w:rPr>
              <w:t>☑</w:t>
            </w:r>
            <w:r>
              <w:rPr>
                <w:rFonts w:hint="eastAsia" w:ascii="仿宋_GB2312" w:hAnsi="仿宋" w:eastAsia="仿宋_GB2312" w:cs="Times New Roman"/>
                <w:kern w:val="0"/>
                <w:szCs w:val="21"/>
              </w:rPr>
              <w:t xml:space="preserve"> </w:t>
            </w:r>
          </w:p>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建议作为重要指标，适当增加分值权重 □</w:t>
            </w:r>
          </w:p>
        </w:tc>
        <w:tc>
          <w:tcPr>
            <w:tcW w:w="1400"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项目参数中的功能细节以和甲方协商为准。</w:t>
            </w:r>
          </w:p>
        </w:tc>
        <w:tc>
          <w:tcPr>
            <w:tcW w:w="601"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_GB2312" w:eastAsia="仿宋_GB2312" w:cs="仿宋_GB2312"/>
                <w:szCs w:val="21"/>
                <w:lang w:bidi="ar"/>
              </w:rPr>
              <w:t>根据需求进行选择，</w:t>
            </w:r>
            <w:r>
              <w:rPr>
                <w:rFonts w:hint="eastAsia" w:ascii="仿宋_GB2312" w:hAnsi="仿宋" w:eastAsia="仿宋_GB2312" w:cs="Times New Roman"/>
                <w:kern w:val="0"/>
                <w:szCs w:val="21"/>
              </w:rPr>
              <w:t>细节商讨</w:t>
            </w:r>
          </w:p>
        </w:tc>
        <w:tc>
          <w:tcPr>
            <w:tcW w:w="688" w:type="pct"/>
            <w:vAlign w:val="center"/>
          </w:tcPr>
          <w:p>
            <w:pPr>
              <w:overflowPunct w:val="0"/>
              <w:spacing w:line="572" w:lineRule="exact"/>
              <w:rPr>
                <w:rFonts w:ascii="仿宋_GB2312" w:hAnsi="仿宋" w:eastAsia="仿宋_GB2312" w:cs="Times New Roman"/>
                <w:kern w:val="0"/>
                <w:szCs w:val="21"/>
              </w:rPr>
            </w:pPr>
            <w:r>
              <w:rPr>
                <w:rFonts w:hint="eastAsia" w:ascii="仿宋_GB2312" w:hAnsi="仿宋" w:eastAsia="仿宋_GB2312" w:cs="Times New Roman"/>
                <w:kern w:val="0"/>
                <w:szCs w:val="21"/>
              </w:rPr>
              <w:t>供应商书面承诺</w:t>
            </w:r>
          </w:p>
        </w:tc>
      </w:tr>
    </w:tbl>
    <w:p>
      <w:pPr>
        <w:pStyle w:val="2"/>
        <w:numPr>
          <w:ilvl w:val="0"/>
          <w:numId w:val="1"/>
        </w:numPr>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验收要求</w:t>
      </w:r>
    </w:p>
    <w:p>
      <w:pPr>
        <w:pStyle w:val="3"/>
        <w:spacing w:before="0" w:after="0" w:line="579" w:lineRule="exact"/>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4.</w:t>
      </w:r>
      <w:r>
        <w:rPr>
          <w:rFonts w:ascii="Times New Roman" w:hAnsi="Times New Roman" w:eastAsia="仿宋_GB2312" w:cs="宋体"/>
          <w:b w:val="0"/>
          <w:sz w:val="32"/>
          <w:szCs w:val="32"/>
        </w:rPr>
        <w:t>1</w:t>
      </w:r>
      <w:r>
        <w:rPr>
          <w:rFonts w:hint="eastAsia" w:ascii="Times New Roman" w:hAnsi="Times New Roman" w:eastAsia="仿宋_GB2312" w:cs="宋体"/>
          <w:b w:val="0"/>
          <w:sz w:val="32"/>
          <w:szCs w:val="32"/>
        </w:rPr>
        <w:t>申请验收条件如下：</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1）项目验收前需提供软件网络安全评估报告或网络安全证明材料。</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）在平台测试或试运行期间所出现的问题得到解决，并运行正常。</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）在规定时间内完成交货及验收，并经采购人确认。</w:t>
      </w:r>
    </w:p>
    <w:p>
      <w:pPr>
        <w:pStyle w:val="3"/>
        <w:spacing w:line="377" w:lineRule="auto"/>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4.</w:t>
      </w:r>
      <w:r>
        <w:rPr>
          <w:rFonts w:ascii="Times New Roman" w:hAnsi="Times New Roman" w:eastAsia="仿宋_GB2312" w:cs="宋体"/>
          <w:b w:val="0"/>
          <w:sz w:val="32"/>
          <w:szCs w:val="32"/>
        </w:rPr>
        <w:t>2</w:t>
      </w:r>
      <w:r>
        <w:rPr>
          <w:rFonts w:hint="eastAsia" w:ascii="Times New Roman" w:hAnsi="Times New Roman" w:eastAsia="仿宋_GB2312" w:cs="宋体"/>
          <w:b w:val="0"/>
          <w:sz w:val="32"/>
          <w:szCs w:val="32"/>
        </w:rPr>
        <w:t>平台或服务在安装调试并试运行符合要求后，才作为最终验收。</w:t>
      </w:r>
    </w:p>
    <w:p>
      <w:pPr>
        <w:pStyle w:val="3"/>
        <w:spacing w:before="0" w:after="0" w:line="377" w:lineRule="auto"/>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4.</w:t>
      </w:r>
      <w:r>
        <w:rPr>
          <w:rFonts w:ascii="Times New Roman" w:hAnsi="Times New Roman" w:eastAsia="仿宋_GB2312" w:cs="宋体"/>
          <w:b w:val="0"/>
          <w:sz w:val="32"/>
          <w:szCs w:val="32"/>
        </w:rPr>
        <w:t>3</w:t>
      </w:r>
      <w:r>
        <w:rPr>
          <w:rFonts w:hint="eastAsia" w:ascii="Times New Roman" w:hAnsi="Times New Roman" w:eastAsia="仿宋_GB2312" w:cs="宋体"/>
          <w:b w:val="0"/>
          <w:sz w:val="32"/>
          <w:szCs w:val="32"/>
        </w:rPr>
        <w:t>中标人提供的平台或服务未达到招标文件规定要求，且对采购人造成损失的，由中标人承担一切责任，并赔偿所造成的损失。</w:t>
      </w:r>
    </w:p>
    <w:p>
      <w:pPr>
        <w:pStyle w:val="3"/>
        <w:spacing w:before="0" w:after="0" w:line="377" w:lineRule="auto"/>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4.</w:t>
      </w:r>
      <w:r>
        <w:rPr>
          <w:rFonts w:ascii="Times New Roman" w:hAnsi="Times New Roman" w:eastAsia="仿宋_GB2312" w:cs="宋体"/>
          <w:b w:val="0"/>
          <w:sz w:val="32"/>
          <w:szCs w:val="32"/>
        </w:rPr>
        <w:t>4</w:t>
      </w:r>
      <w:r>
        <w:rPr>
          <w:rFonts w:hint="eastAsia" w:ascii="Times New Roman" w:hAnsi="Times New Roman" w:eastAsia="仿宋_GB2312" w:cs="宋体"/>
          <w:b w:val="0"/>
          <w:sz w:val="32"/>
          <w:szCs w:val="32"/>
        </w:rPr>
        <w:t>其他验收要求按《拟签订的合同文本》执行，未尽事宜按照相关部门发布之文件执行。</w:t>
      </w:r>
    </w:p>
    <w:p>
      <w:pPr>
        <w:spacing w:line="579" w:lineRule="exact"/>
        <w:ind w:firstLine="470" w:firstLineChars="147"/>
        <w:outlineLvl w:val="1"/>
        <w:rPr>
          <w:rFonts w:ascii="Times New Roman" w:hAnsi="Times New Roman" w:eastAsia="楷体" w:cs="Times New Roman"/>
          <w:kern w:val="0"/>
          <w:sz w:val="32"/>
          <w:szCs w:val="32"/>
        </w:rPr>
      </w:pPr>
      <w:r>
        <w:rPr>
          <w:rFonts w:hint="eastAsia" w:ascii="Times New Roman" w:hAnsi="Times New Roman" w:eastAsia="楷体" w:cs="Times New Roman"/>
          <w:kern w:val="0"/>
          <w:sz w:val="32"/>
          <w:szCs w:val="32"/>
        </w:rPr>
        <w:t>（二）经济要求</w:t>
      </w:r>
    </w:p>
    <w:p>
      <w:pPr>
        <w:pStyle w:val="2"/>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1. 预算安排</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70"/>
        <w:gridCol w:w="2872"/>
        <w:gridCol w:w="917"/>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noWrap/>
            <w:vAlign w:val="center"/>
          </w:tcPr>
          <w:p>
            <w:pPr>
              <w:overflowPunct w:val="0"/>
              <w:spacing w:line="572" w:lineRule="exact"/>
              <w:jc w:val="center"/>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序号</w:t>
            </w:r>
          </w:p>
        </w:tc>
        <w:tc>
          <w:tcPr>
            <w:tcW w:w="1449" w:type="pct"/>
            <w:vAlign w:val="center"/>
          </w:tcPr>
          <w:p>
            <w:pPr>
              <w:overflowPunct w:val="0"/>
              <w:spacing w:line="572" w:lineRule="exact"/>
              <w:jc w:val="center"/>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建设内容</w:t>
            </w:r>
          </w:p>
        </w:tc>
        <w:tc>
          <w:tcPr>
            <w:tcW w:w="1685" w:type="pct"/>
            <w:vAlign w:val="center"/>
          </w:tcPr>
          <w:p>
            <w:pPr>
              <w:overflowPunct w:val="0"/>
              <w:spacing w:line="572" w:lineRule="exact"/>
              <w:jc w:val="center"/>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描述</w:t>
            </w:r>
          </w:p>
        </w:tc>
        <w:tc>
          <w:tcPr>
            <w:tcW w:w="538" w:type="pct"/>
            <w:vAlign w:val="center"/>
          </w:tcPr>
          <w:p>
            <w:pPr>
              <w:overflowPunct w:val="0"/>
              <w:spacing w:line="572" w:lineRule="exact"/>
              <w:jc w:val="center"/>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数量</w:t>
            </w:r>
          </w:p>
        </w:tc>
        <w:tc>
          <w:tcPr>
            <w:tcW w:w="846" w:type="pct"/>
            <w:vAlign w:val="center"/>
          </w:tcPr>
          <w:p>
            <w:pPr>
              <w:overflowPunct w:val="0"/>
              <w:spacing w:line="572" w:lineRule="exact"/>
              <w:jc w:val="center"/>
              <w:rPr>
                <w:rFonts w:ascii="仿宋_GB2312" w:hAnsi="仿宋" w:eastAsia="仿宋_GB2312" w:cs="Times New Roman"/>
                <w:b/>
                <w:bCs/>
                <w:kern w:val="0"/>
                <w:sz w:val="24"/>
                <w:szCs w:val="24"/>
              </w:rPr>
            </w:pPr>
            <w:r>
              <w:rPr>
                <w:rFonts w:hint="eastAsia" w:ascii="仿宋_GB2312" w:hAnsi="仿宋" w:eastAsia="仿宋_GB2312" w:cs="Times New Roman"/>
                <w:b/>
                <w:bCs/>
                <w:kern w:val="0"/>
                <w:sz w:val="24"/>
                <w:szCs w:val="24"/>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 w:type="pct"/>
            <w:vAlign w:val="center"/>
          </w:tcPr>
          <w:p>
            <w:pPr>
              <w:overflowPunct w:val="0"/>
              <w:spacing w:line="572" w:lineRule="exact"/>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w:t>
            </w:r>
          </w:p>
        </w:tc>
        <w:tc>
          <w:tcPr>
            <w:tcW w:w="1449" w:type="pct"/>
            <w:vAlign w:val="center"/>
          </w:tcPr>
          <w:p>
            <w:pPr>
              <w:overflowPunct w:val="0"/>
              <w:spacing w:line="572" w:lineRule="exact"/>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教学参考资源平台</w:t>
            </w:r>
          </w:p>
        </w:tc>
        <w:tc>
          <w:tcPr>
            <w:tcW w:w="1685" w:type="pct"/>
            <w:vAlign w:val="center"/>
          </w:tcPr>
          <w:p>
            <w:pPr>
              <w:overflowPunct w:val="0"/>
              <w:spacing w:line="572" w:lineRule="exact"/>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软件</w:t>
            </w:r>
          </w:p>
        </w:tc>
        <w:tc>
          <w:tcPr>
            <w:tcW w:w="538" w:type="pct"/>
            <w:vAlign w:val="center"/>
          </w:tcPr>
          <w:p>
            <w:pPr>
              <w:overflowPunct w:val="0"/>
              <w:spacing w:line="572" w:lineRule="exact"/>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w:t>
            </w:r>
          </w:p>
        </w:tc>
        <w:tc>
          <w:tcPr>
            <w:tcW w:w="846" w:type="pct"/>
            <w:vAlign w:val="center"/>
          </w:tcPr>
          <w:p>
            <w:pPr>
              <w:overflowPunct w:val="0"/>
              <w:spacing w:line="572" w:lineRule="exact"/>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27</w:t>
            </w:r>
          </w:p>
        </w:tc>
      </w:tr>
    </w:tbl>
    <w:p>
      <w:pPr>
        <w:pStyle w:val="2"/>
        <w:numPr>
          <w:ilvl w:val="0"/>
          <w:numId w:val="2"/>
        </w:numPr>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标的数量</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1套</w:t>
      </w:r>
    </w:p>
    <w:p>
      <w:pPr>
        <w:pStyle w:val="2"/>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3. 交付实施要求</w:t>
      </w:r>
    </w:p>
    <w:p>
      <w:pPr>
        <w:pStyle w:val="3"/>
        <w:spacing w:line="579" w:lineRule="exact"/>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3.1 交付使用时间</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自接到采购方入场通知之日起</w:t>
      </w:r>
      <w:r>
        <w:rPr>
          <w:rFonts w:ascii="Times New Roman" w:hAnsi="Times New Roman" w:eastAsia="仿宋_GB2312"/>
          <w:sz w:val="32"/>
          <w:szCs w:val="32"/>
        </w:rPr>
        <w:t>60</w:t>
      </w:r>
      <w:r>
        <w:rPr>
          <w:rFonts w:hint="eastAsia" w:ascii="Times New Roman" w:hAnsi="Times New Roman" w:eastAsia="仿宋_GB2312"/>
          <w:sz w:val="32"/>
          <w:szCs w:val="32"/>
        </w:rPr>
        <w:t>天内。</w:t>
      </w:r>
    </w:p>
    <w:p>
      <w:pPr>
        <w:pStyle w:val="3"/>
        <w:spacing w:line="579" w:lineRule="exact"/>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3.2 交付地点</w:t>
      </w:r>
    </w:p>
    <w:p>
      <w:pPr>
        <w:autoSpaceDE w:val="0"/>
        <w:autoSpaceDN w:val="0"/>
        <w:adjustRightInd w:val="0"/>
        <w:spacing w:line="579" w:lineRule="exact"/>
        <w:ind w:firstLine="640" w:firstLineChars="200"/>
      </w:pPr>
      <w:r>
        <w:rPr>
          <w:rFonts w:hint="eastAsia" w:ascii="Times New Roman" w:hAnsi="Times New Roman" w:eastAsia="仿宋_GB2312" w:cs="宋体"/>
          <w:kern w:val="0"/>
          <w:sz w:val="32"/>
          <w:szCs w:val="32"/>
        </w:rPr>
        <w:t>重庆市沙坪坝区内（采购人指定地点）</w:t>
      </w:r>
    </w:p>
    <w:p>
      <w:pPr>
        <w:pStyle w:val="2"/>
        <w:spacing w:line="579" w:lineRule="exact"/>
        <w:ind w:firstLine="640" w:firstLineChars="200"/>
        <w:rPr>
          <w:rFonts w:ascii="Times New Roman" w:hAnsi="Times New Roman" w:eastAsia="仿宋_GB2312" w:cs="宋体"/>
          <w:b w:val="0"/>
          <w:bCs w:val="0"/>
        </w:rPr>
      </w:pPr>
      <w:r>
        <w:rPr>
          <w:rFonts w:hint="eastAsia" w:ascii="Times New Roman" w:hAnsi="Times New Roman" w:eastAsia="仿宋_GB2312" w:cs="宋体"/>
          <w:b w:val="0"/>
          <w:bCs w:val="0"/>
          <w:lang w:val="en-US"/>
        </w:rPr>
        <w:t>4. 售后服务</w:t>
      </w:r>
    </w:p>
    <w:p>
      <w:pPr>
        <w:autoSpaceDE w:val="0"/>
        <w:autoSpaceDN w:val="0"/>
        <w:adjustRightInd w:val="0"/>
        <w:spacing w:line="579" w:lineRule="exact"/>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供货时须提供平台的售后服务承诺函（必须包含使用人陆军军医大学拥有终身免费使用权），复印件加盖投标人公章。</w:t>
      </w:r>
    </w:p>
    <w:p>
      <w:pPr>
        <w:pStyle w:val="2"/>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5. 付款条件</w:t>
      </w:r>
    </w:p>
    <w:p>
      <w:pPr>
        <w:spacing w:line="360" w:lineRule="auto"/>
        <w:ind w:firstLine="640" w:firstLineChars="200"/>
        <w:rPr>
          <w:rFonts w:ascii="Times New Roman" w:hAnsi="Times New Roman" w:eastAsia="仿宋_GB2312" w:cs="宋体"/>
          <w:kern w:val="0"/>
          <w:sz w:val="32"/>
          <w:szCs w:val="32"/>
        </w:rPr>
      </w:pPr>
      <w:r>
        <w:rPr>
          <w:rFonts w:hint="eastAsia" w:ascii="Times New Roman" w:hAnsi="Times New Roman" w:eastAsia="仿宋_GB2312" w:cs="宋体"/>
          <w:kern w:val="0"/>
          <w:sz w:val="32"/>
          <w:szCs w:val="32"/>
        </w:rPr>
        <w:t>本项目不预付货款，物资运达指定地点验收合格后，中标供应商收集发运接收单、发票、验收报告等材料，提交采购单位办理结算手续，采购单位在60日内向中标供应商支付货款。</w:t>
      </w:r>
    </w:p>
    <w:p>
      <w:pPr>
        <w:pStyle w:val="2"/>
        <w:spacing w:line="579" w:lineRule="exact"/>
        <w:ind w:firstLine="640" w:firstLineChars="200"/>
        <w:rPr>
          <w:rFonts w:ascii="Times New Roman" w:hAnsi="Times New Roman" w:eastAsia="仿宋_GB2312" w:cs="宋体"/>
          <w:b w:val="0"/>
          <w:bCs w:val="0"/>
          <w:lang w:val="en-US"/>
        </w:rPr>
      </w:pPr>
      <w:r>
        <w:rPr>
          <w:rFonts w:hint="eastAsia" w:ascii="Times New Roman" w:hAnsi="Times New Roman" w:eastAsia="仿宋_GB2312" w:cs="宋体"/>
          <w:b w:val="0"/>
          <w:bCs w:val="0"/>
          <w:lang w:val="en-US"/>
        </w:rPr>
        <w:t>6. 包装、运输、专用工具、备品备件、报价要求、保险、保密和专利等</w:t>
      </w:r>
    </w:p>
    <w:p>
      <w:pPr>
        <w:pStyle w:val="3"/>
        <w:spacing w:line="377" w:lineRule="auto"/>
        <w:ind w:firstLine="640" w:firstLineChars="200"/>
        <w:rPr>
          <w:rFonts w:ascii="Times New Roman" w:hAnsi="Times New Roman" w:eastAsia="仿宋_GB2312" w:cs="宋体"/>
          <w:b w:val="0"/>
        </w:rPr>
      </w:pPr>
      <w:r>
        <w:rPr>
          <w:rFonts w:hint="eastAsia" w:ascii="Times New Roman" w:hAnsi="Times New Roman" w:eastAsia="仿宋_GB2312" w:cs="宋体"/>
          <w:b w:val="0"/>
          <w:sz w:val="32"/>
          <w:szCs w:val="32"/>
        </w:rPr>
        <w:t>6.1</w:t>
      </w:r>
      <w:r>
        <w:rPr>
          <w:rFonts w:ascii="Times New Roman" w:hAnsi="Times New Roman" w:eastAsia="仿宋_GB2312" w:cs="宋体"/>
          <w:sz w:val="32"/>
          <w:szCs w:val="32"/>
        </w:rPr>
        <w:t xml:space="preserve"> </w:t>
      </w:r>
      <w:r>
        <w:rPr>
          <w:rFonts w:hint="eastAsia" w:ascii="Times New Roman" w:hAnsi="Times New Roman" w:eastAsia="仿宋_GB2312" w:cs="宋体"/>
          <w:b w:val="0"/>
          <w:sz w:val="32"/>
          <w:szCs w:val="32"/>
        </w:rPr>
        <w:t>报价要求</w:t>
      </w:r>
    </w:p>
    <w:p>
      <w:pPr>
        <w:pStyle w:val="9"/>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cs="宋体"/>
          <w:bCs/>
          <w:sz w:val="32"/>
          <w:szCs w:val="32"/>
        </w:rPr>
        <w:t>本次报价采用人民币报价，报价应包含实施本项目的一切费用（货物价款及与履行本采购项目有关的所有费用，即采购、运输、劳务、管理、利润、税金、保险、协调、安装、调试、培训、售后服务、软件升级以及所有的不定因素的风险等），且对采购清单中平台系统提供</w:t>
      </w:r>
      <w:r>
        <w:rPr>
          <w:rFonts w:hint="eastAsia" w:ascii="Times New Roman" w:hAnsi="Times New Roman" w:eastAsia="仿宋_GB2312"/>
          <w:sz w:val="32"/>
          <w:szCs w:val="32"/>
        </w:rPr>
        <w:t>分项报价。</w:t>
      </w:r>
    </w:p>
    <w:p>
      <w:pPr>
        <w:pStyle w:val="3"/>
        <w:spacing w:line="377" w:lineRule="auto"/>
        <w:ind w:firstLine="640" w:firstLineChars="200"/>
        <w:rPr>
          <w:rFonts w:ascii="Times New Roman" w:hAnsi="Times New Roman" w:eastAsia="仿宋_GB2312" w:cs="宋体"/>
          <w:b w:val="0"/>
          <w:sz w:val="32"/>
          <w:szCs w:val="32"/>
        </w:rPr>
      </w:pPr>
      <w:r>
        <w:rPr>
          <w:rFonts w:hint="eastAsia" w:ascii="Times New Roman" w:hAnsi="Times New Roman" w:eastAsia="仿宋_GB2312" w:cs="宋体"/>
          <w:b w:val="0"/>
          <w:sz w:val="32"/>
          <w:szCs w:val="32"/>
        </w:rPr>
        <w:t>6.2 专利及知识产权</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和产品供应商、制造商承担所有相关责任。</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（2）使用人（陆军军医大学）享有本项目实施过程中产生的知识成果及知识产权。</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投标人如欲在项目实施过程中采用自有知识成果的，则在使用该知识成果后，须向采购人提供开发接口和开发手册等技术文档，并提供无限期技术支持，使用人陆军军医大学享有永久使用权（含使用人陆军军医大学委托第三方在该项目后续开发的使用权）。</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cs="宋体"/>
          <w:sz w:val="32"/>
          <w:szCs w:val="32"/>
        </w:rPr>
        <w:t>需投标人提供关键字包含“教学参考”、“参考资源”、“教参”、“资源”其中之一的相关软件著作权。</w:t>
      </w:r>
    </w:p>
    <w:p>
      <w:pPr>
        <w:pStyle w:val="6"/>
        <w:spacing w:after="0" w:line="579" w:lineRule="exact"/>
        <w:ind w:firstLine="640" w:firstLineChars="200"/>
      </w:pPr>
      <w:r>
        <w:rPr>
          <w:rFonts w:hint="eastAsia" w:ascii="Times New Roman" w:hAnsi="Times New Roman" w:eastAsia="仿宋_GB2312"/>
          <w:sz w:val="32"/>
          <w:szCs w:val="32"/>
        </w:rPr>
        <w:t>（5）投标人所不拥有的知识产权，则投标报价须为已包括合法获取该知识产权相关费用的价格。</w:t>
      </w:r>
    </w:p>
    <w:p>
      <w:pPr>
        <w:spacing w:line="579" w:lineRule="exact"/>
        <w:ind w:firstLine="470" w:firstLineChars="147"/>
        <w:outlineLvl w:val="1"/>
        <w:rPr>
          <w:rFonts w:ascii="Times New Roman" w:hAnsi="Times New Roman" w:eastAsia="楷体" w:cs="Times New Roman"/>
          <w:kern w:val="0"/>
          <w:sz w:val="32"/>
          <w:szCs w:val="32"/>
        </w:rPr>
      </w:pPr>
      <w:r>
        <w:rPr>
          <w:rFonts w:hint="eastAsia" w:ascii="Times New Roman" w:hAnsi="Times New Roman" w:eastAsia="楷体" w:cs="Times New Roman"/>
          <w:kern w:val="0"/>
          <w:sz w:val="32"/>
          <w:szCs w:val="32"/>
        </w:rPr>
        <w:t>（三）实施意见</w:t>
      </w:r>
    </w:p>
    <w:p>
      <w:pPr>
        <w:pStyle w:val="2"/>
        <w:spacing w:line="579" w:lineRule="exact"/>
        <w:ind w:firstLine="640" w:firstLineChars="200"/>
        <w:rPr>
          <w:rFonts w:ascii="Times New Roman" w:hAnsi="Times New Roman" w:eastAsia="仿宋_GB2312" w:cs="宋体"/>
          <w:b w:val="0"/>
          <w:bCs w:val="0"/>
          <w:lang w:val="en-US"/>
        </w:rPr>
      </w:pPr>
      <w:r>
        <w:rPr>
          <w:rFonts w:ascii="Times New Roman" w:hAnsi="Times New Roman" w:eastAsia="仿宋_GB2312" w:cs="宋体"/>
          <w:b w:val="0"/>
          <w:bCs w:val="0"/>
          <w:lang w:val="en-US"/>
        </w:rPr>
        <w:t>1</w:t>
      </w:r>
      <w:r>
        <w:rPr>
          <w:rFonts w:hint="eastAsia" w:ascii="Times New Roman" w:hAnsi="Times New Roman" w:eastAsia="仿宋_GB2312" w:cs="宋体"/>
          <w:b w:val="0"/>
          <w:bCs w:val="0"/>
          <w:lang w:val="en-US"/>
        </w:rPr>
        <w:t>.供应商资格条件设定</w:t>
      </w:r>
    </w:p>
    <w:p>
      <w:pPr>
        <w:spacing w:line="579"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在</w:t>
      </w:r>
      <w:r>
        <w:rPr>
          <w:rFonts w:hint="eastAsia" w:ascii="Times New Roman" w:hAnsi="Times New Roman" w:eastAsia="仿宋_GB2312"/>
          <w:sz w:val="32"/>
          <w:szCs w:val="32"/>
        </w:rPr>
        <w:t>商务要求中明确投标人需提供关键字包含</w:t>
      </w:r>
      <w:r>
        <w:rPr>
          <w:rFonts w:hint="eastAsia" w:ascii="Times New Roman" w:hAnsi="Times New Roman" w:eastAsia="仿宋_GB2312" w:cs="Times New Roman"/>
          <w:kern w:val="0"/>
          <w:sz w:val="32"/>
          <w:szCs w:val="32"/>
        </w:rPr>
        <w:t>“教学参考”、“参考资源”、“教参”</w:t>
      </w:r>
      <w:r>
        <w:rPr>
          <w:rFonts w:hint="eastAsia" w:ascii="Times New Roman" w:hAnsi="Times New Roman" w:eastAsia="仿宋_GB2312" w:cs="宋体"/>
          <w:sz w:val="32"/>
          <w:szCs w:val="32"/>
        </w:rPr>
        <w:t>、“资源”等字样</w:t>
      </w:r>
      <w:r>
        <w:rPr>
          <w:rFonts w:hint="eastAsia" w:ascii="Times New Roman" w:hAnsi="Times New Roman" w:eastAsia="仿宋_GB2312"/>
          <w:sz w:val="32"/>
          <w:szCs w:val="32"/>
        </w:rPr>
        <w:t>的软件著作权。</w:t>
      </w:r>
    </w:p>
    <w:p>
      <w:pPr>
        <w:pStyle w:val="2"/>
        <w:spacing w:line="579" w:lineRule="exact"/>
        <w:ind w:firstLine="640" w:firstLineChars="200"/>
        <w:rPr>
          <w:rFonts w:ascii="Times New Roman" w:hAnsi="Times New Roman" w:eastAsia="仿宋_GB2312" w:cs="宋体"/>
          <w:b w:val="0"/>
          <w:bCs w:val="0"/>
          <w:lang w:val="en-US"/>
        </w:rPr>
      </w:pPr>
      <w:r>
        <w:rPr>
          <w:rFonts w:ascii="Times New Roman" w:hAnsi="Times New Roman" w:eastAsia="仿宋_GB2312" w:cs="宋体"/>
          <w:b w:val="0"/>
          <w:bCs w:val="0"/>
          <w:lang w:val="en-US"/>
        </w:rPr>
        <w:t>2</w:t>
      </w:r>
      <w:r>
        <w:rPr>
          <w:rFonts w:hint="eastAsia" w:ascii="Times New Roman" w:hAnsi="Times New Roman" w:eastAsia="仿宋_GB2312" w:cs="宋体"/>
          <w:b w:val="0"/>
          <w:bCs w:val="0"/>
          <w:lang w:val="en-US"/>
        </w:rPr>
        <w:t>.样品评审组织</w:t>
      </w:r>
    </w:p>
    <w:p>
      <w:pPr>
        <w:spacing w:line="579"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本项目无需组织原型测评。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swiss"/>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6A28E1"/>
    <w:multiLevelType w:val="singleLevel"/>
    <w:tmpl w:val="FA6A28E1"/>
    <w:lvl w:ilvl="0" w:tentative="0">
      <w:start w:val="2"/>
      <w:numFmt w:val="decimal"/>
      <w:suff w:val="space"/>
      <w:lvlText w:val="%1."/>
      <w:lvlJc w:val="left"/>
    </w:lvl>
  </w:abstractNum>
  <w:abstractNum w:abstractNumId="1">
    <w:nsid w:val="FF5E5720"/>
    <w:multiLevelType w:val="singleLevel"/>
    <w:tmpl w:val="FF5E572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NzU5ZTc4YTNhNDJmMDI2ODk4ZGM0ZTBkMjg5ZjcifQ=="/>
  </w:docVars>
  <w:rsids>
    <w:rsidRoot w:val="00A81952"/>
    <w:rsid w:val="000A0C37"/>
    <w:rsid w:val="00164BF2"/>
    <w:rsid w:val="001759A7"/>
    <w:rsid w:val="00180EE0"/>
    <w:rsid w:val="00225B38"/>
    <w:rsid w:val="0023666A"/>
    <w:rsid w:val="00265CE0"/>
    <w:rsid w:val="003843AF"/>
    <w:rsid w:val="004B5E4F"/>
    <w:rsid w:val="00502DCE"/>
    <w:rsid w:val="005A1C18"/>
    <w:rsid w:val="00633D19"/>
    <w:rsid w:val="006D05C0"/>
    <w:rsid w:val="00702812"/>
    <w:rsid w:val="00815BAC"/>
    <w:rsid w:val="008E4AA4"/>
    <w:rsid w:val="009410EE"/>
    <w:rsid w:val="009E2FCD"/>
    <w:rsid w:val="00A61DE3"/>
    <w:rsid w:val="00A81952"/>
    <w:rsid w:val="00AC757F"/>
    <w:rsid w:val="00AE3B04"/>
    <w:rsid w:val="00B5585B"/>
    <w:rsid w:val="00B73DD4"/>
    <w:rsid w:val="00BE10A5"/>
    <w:rsid w:val="00C22F3A"/>
    <w:rsid w:val="00C4458F"/>
    <w:rsid w:val="00CE77D3"/>
    <w:rsid w:val="00CF2A9E"/>
    <w:rsid w:val="00D07193"/>
    <w:rsid w:val="00D721F4"/>
    <w:rsid w:val="00D85759"/>
    <w:rsid w:val="00E113DB"/>
    <w:rsid w:val="00EF3653"/>
    <w:rsid w:val="00F75D85"/>
    <w:rsid w:val="18902440"/>
    <w:rsid w:val="1B403D4D"/>
    <w:rsid w:val="1CE96430"/>
    <w:rsid w:val="1EED48C5"/>
    <w:rsid w:val="2A1220C3"/>
    <w:rsid w:val="2E361BC6"/>
    <w:rsid w:val="374B6987"/>
    <w:rsid w:val="39377307"/>
    <w:rsid w:val="3A4426D8"/>
    <w:rsid w:val="3ED6747E"/>
    <w:rsid w:val="43C809C0"/>
    <w:rsid w:val="4AA533C2"/>
    <w:rsid w:val="4ECF4830"/>
    <w:rsid w:val="50BB0282"/>
    <w:rsid w:val="63704507"/>
    <w:rsid w:val="696347B9"/>
    <w:rsid w:val="6A9226C4"/>
    <w:rsid w:val="6C7C59C1"/>
    <w:rsid w:val="741B6852"/>
    <w:rsid w:val="792AE356"/>
    <w:rsid w:val="7A174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qFormat/>
    <w:uiPriority w:val="9"/>
    <w:pPr>
      <w:keepNext/>
      <w:keepLines/>
      <w:spacing w:before="260" w:after="260" w:line="416" w:lineRule="auto"/>
      <w:jc w:val="left"/>
      <w:outlineLvl w:val="2"/>
    </w:pPr>
    <w:rPr>
      <w:rFonts w:ascii="Calibri" w:hAnsi="Calibri" w:eastAsia="宋体" w:cs="Times New Roman"/>
      <w:b/>
      <w:bCs/>
      <w:sz w:val="32"/>
      <w:szCs w:val="32"/>
      <w:lang w:val="zh-CN"/>
    </w:rPr>
  </w:style>
  <w:style w:type="paragraph" w:styleId="3">
    <w:name w:val="heading 4"/>
    <w:basedOn w:val="1"/>
    <w:next w:val="1"/>
    <w:link w:val="16"/>
    <w:autoRedefine/>
    <w:unhideWhenUsed/>
    <w:qFormat/>
    <w:uiPriority w:val="0"/>
    <w:pPr>
      <w:keepNext/>
      <w:keepLines/>
      <w:spacing w:before="280" w:after="290" w:line="376" w:lineRule="auto"/>
      <w:jc w:val="left"/>
      <w:outlineLvl w:val="3"/>
    </w:pPr>
    <w:rPr>
      <w:rFonts w:asciiTheme="majorHAnsi" w:hAnsiTheme="majorHAnsi" w:eastAsiaTheme="majorEastAsia" w:cstheme="majorBidi"/>
      <w:b/>
      <w:bCs/>
      <w:sz w:val="28"/>
      <w:szCs w:val="28"/>
    </w:rPr>
  </w:style>
  <w:style w:type="paragraph" w:styleId="4">
    <w:name w:val="heading 5"/>
    <w:basedOn w:val="1"/>
    <w:next w:val="1"/>
    <w:link w:val="14"/>
    <w:autoRedefine/>
    <w:unhideWhenUsed/>
    <w:qFormat/>
    <w:uiPriority w:val="9"/>
    <w:pPr>
      <w:keepNext/>
      <w:keepLines/>
      <w:spacing w:before="280" w:after="290" w:line="376" w:lineRule="auto"/>
      <w:outlineLvl w:val="4"/>
    </w:pPr>
    <w:rPr>
      <w:b/>
      <w:b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17"/>
    <w:autoRedefine/>
    <w:qFormat/>
    <w:uiPriority w:val="99"/>
    <w:pPr>
      <w:jc w:val="left"/>
    </w:pPr>
    <w:rPr>
      <w:rFonts w:ascii="Calibri" w:hAnsi="Calibri" w:eastAsia="宋体" w:cs="Times New Roman"/>
      <w:sz w:val="20"/>
      <w:szCs w:val="20"/>
    </w:rPr>
  </w:style>
  <w:style w:type="paragraph" w:styleId="6">
    <w:name w:val="Body Text"/>
    <w:basedOn w:val="1"/>
    <w:next w:val="1"/>
    <w:link w:val="18"/>
    <w:autoRedefine/>
    <w:semiHidden/>
    <w:unhideWhenUsed/>
    <w:qFormat/>
    <w:uiPriority w:val="99"/>
    <w:pPr>
      <w:spacing w:after="120"/>
    </w:pPr>
  </w:style>
  <w:style w:type="paragraph" w:styleId="7">
    <w:name w:val="Balloon Text"/>
    <w:basedOn w:val="1"/>
    <w:link w:val="21"/>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Body Text First Indent"/>
    <w:basedOn w:val="6"/>
    <w:next w:val="1"/>
    <w:link w:val="20"/>
    <w:autoRedefine/>
    <w:qFormat/>
    <w:uiPriority w:val="99"/>
    <w:pPr>
      <w:spacing w:line="275" w:lineRule="atLeast"/>
      <w:ind w:firstLine="420"/>
      <w:textAlignment w:val="baseline"/>
    </w:pPr>
    <w:rPr>
      <w:rFonts w:ascii="Calibri" w:hAnsi="Calibri" w:eastAsia="宋体" w:cs="Times New Roman"/>
      <w:kern w:val="0"/>
      <w:sz w:val="24"/>
      <w:szCs w:val="24"/>
    </w:rPr>
  </w:style>
  <w:style w:type="table" w:styleId="11">
    <w:name w:val="Table Grid"/>
    <w:basedOn w:val="10"/>
    <w:autoRedefine/>
    <w:qFormat/>
    <w:uiPriority w:val="0"/>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customStyle="1" w:styleId="14">
    <w:name w:val="标题 5 字符"/>
    <w:basedOn w:val="12"/>
    <w:link w:val="4"/>
    <w:autoRedefine/>
    <w:qFormat/>
    <w:uiPriority w:val="9"/>
    <w:rPr>
      <w:b/>
      <w:bCs/>
      <w:sz w:val="28"/>
      <w:szCs w:val="28"/>
    </w:rPr>
  </w:style>
  <w:style w:type="character" w:customStyle="1" w:styleId="15">
    <w:name w:val="标题 3 字符"/>
    <w:basedOn w:val="12"/>
    <w:link w:val="2"/>
    <w:autoRedefine/>
    <w:qFormat/>
    <w:uiPriority w:val="9"/>
    <w:rPr>
      <w:rFonts w:ascii="Calibri" w:hAnsi="Calibri" w:eastAsia="宋体" w:cs="Times New Roman"/>
      <w:b/>
      <w:bCs/>
      <w:sz w:val="32"/>
      <w:szCs w:val="32"/>
      <w:lang w:val="zh-CN"/>
    </w:rPr>
  </w:style>
  <w:style w:type="character" w:customStyle="1" w:styleId="16">
    <w:name w:val="标题 4 字符"/>
    <w:basedOn w:val="12"/>
    <w:link w:val="3"/>
    <w:autoRedefine/>
    <w:qFormat/>
    <w:uiPriority w:val="0"/>
    <w:rPr>
      <w:rFonts w:asciiTheme="majorHAnsi" w:hAnsiTheme="majorHAnsi" w:eastAsiaTheme="majorEastAsia" w:cstheme="majorBidi"/>
      <w:b/>
      <w:bCs/>
      <w:sz w:val="28"/>
      <w:szCs w:val="28"/>
    </w:rPr>
  </w:style>
  <w:style w:type="character" w:customStyle="1" w:styleId="17">
    <w:name w:val="批注文字 字符"/>
    <w:basedOn w:val="12"/>
    <w:link w:val="5"/>
    <w:autoRedefine/>
    <w:qFormat/>
    <w:uiPriority w:val="99"/>
    <w:rPr>
      <w:rFonts w:ascii="Calibri" w:hAnsi="Calibri" w:eastAsia="宋体" w:cs="Times New Roman"/>
      <w:sz w:val="20"/>
      <w:szCs w:val="20"/>
    </w:rPr>
  </w:style>
  <w:style w:type="character" w:customStyle="1" w:styleId="18">
    <w:name w:val="正文文本 字符"/>
    <w:basedOn w:val="12"/>
    <w:link w:val="6"/>
    <w:autoRedefine/>
    <w:semiHidden/>
    <w:qFormat/>
    <w:uiPriority w:val="99"/>
  </w:style>
  <w:style w:type="character" w:customStyle="1" w:styleId="19">
    <w:name w:val="页脚 字符"/>
    <w:basedOn w:val="12"/>
    <w:link w:val="8"/>
    <w:autoRedefine/>
    <w:qFormat/>
    <w:uiPriority w:val="99"/>
    <w:rPr>
      <w:sz w:val="18"/>
      <w:szCs w:val="18"/>
    </w:rPr>
  </w:style>
  <w:style w:type="character" w:customStyle="1" w:styleId="20">
    <w:name w:val="正文文本首行缩进 字符"/>
    <w:basedOn w:val="18"/>
    <w:link w:val="9"/>
    <w:autoRedefine/>
    <w:qFormat/>
    <w:uiPriority w:val="99"/>
    <w:rPr>
      <w:rFonts w:ascii="Calibri" w:hAnsi="Calibri" w:eastAsia="宋体" w:cs="Times New Roman"/>
      <w:kern w:val="0"/>
      <w:sz w:val="24"/>
      <w:szCs w:val="24"/>
    </w:rPr>
  </w:style>
  <w:style w:type="character" w:customStyle="1" w:styleId="21">
    <w:name w:val="批注框文本 字符"/>
    <w:basedOn w:val="12"/>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825</Words>
  <Characters>4705</Characters>
  <Lines>39</Lines>
  <Paragraphs>11</Paragraphs>
  <TotalTime>32</TotalTime>
  <ScaleCrop>false</ScaleCrop>
  <LinksUpToDate>false</LinksUpToDate>
  <CharactersWithSpaces>5519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2024-01-19T22:45:00Z</dcterms:created>
  <dc:creator>admin</dc:creator>
  <cp:lastModifiedBy>Administrator</cp:lastModifiedBy>
  <dcterms:modified xsi:type="dcterms:W3CDTF">2024-02-28T08:55:23Z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7022D4B63EFC4574A61D80A3272334A1_12</vt:lpwstr>
  </property>
</Properties>
</file>