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ECA42">
      <w:pPr>
        <w:ind w:firstLine="0" w:firstLineChars="0"/>
        <w:outlineLvl w:val="1"/>
        <w:rPr>
          <w:rFonts w:ascii="黑体" w:hAnsi="黑体" w:eastAsia="黑体" w:cs="Times New Roman"/>
          <w:color w:val="auto"/>
          <w:u w:val="none"/>
        </w:rPr>
      </w:pPr>
      <w:bookmarkStart w:id="0" w:name="_Toc2768"/>
      <w:bookmarkStart w:id="1" w:name="_Toc14878"/>
      <w:r>
        <w:rPr>
          <w:rFonts w:hint="eastAsia" w:ascii="黑体" w:hAnsi="黑体" w:eastAsia="黑体" w:cs="Times New Roman"/>
          <w:color w:val="auto"/>
          <w:u w:val="none"/>
        </w:rPr>
        <w:t>附件1</w:t>
      </w:r>
      <w:bookmarkEnd w:id="0"/>
    </w:p>
    <w:p w14:paraId="3096EB1E">
      <w:pPr>
        <w:pBdr>
          <w:top w:val="none" w:color="auto" w:sz="0" w:space="1"/>
          <w:left w:val="none" w:color="auto" w:sz="0" w:space="4"/>
          <w:bottom w:val="none" w:color="auto" w:sz="0" w:space="1"/>
          <w:right w:val="none" w:color="auto" w:sz="0" w:space="4"/>
        </w:pBdr>
        <w:overflowPunct w:val="0"/>
        <w:spacing w:before="156" w:beforeLines="50" w:after="156" w:afterLines="50" w:line="570" w:lineRule="exact"/>
        <w:ind w:firstLine="0" w:firstLineChars="0"/>
        <w:jc w:val="center"/>
        <w:rPr>
          <w:rFonts w:ascii="方正小标宋简体" w:hAnsi="仿宋" w:eastAsia="方正小标宋简体"/>
          <w:color w:val="auto"/>
          <w:sz w:val="44"/>
          <w:szCs w:val="44"/>
          <w:u w:val="none"/>
        </w:rPr>
      </w:pPr>
      <w:r>
        <w:rPr>
          <w:rFonts w:hint="eastAsia" w:ascii="方正小标宋简体" w:hAnsi="仿宋" w:eastAsia="方正小标宋简体"/>
          <w:color w:val="auto"/>
          <w:sz w:val="44"/>
          <w:szCs w:val="44"/>
          <w:u w:val="none"/>
        </w:rPr>
        <w:t>采购需求明细表</w:t>
      </w:r>
    </w:p>
    <w:tbl>
      <w:tblPr>
        <w:tblStyle w:val="18"/>
        <w:tblW w:w="12806"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533"/>
        <w:gridCol w:w="1280"/>
        <w:gridCol w:w="731"/>
        <w:gridCol w:w="656"/>
        <w:gridCol w:w="675"/>
        <w:gridCol w:w="656"/>
        <w:gridCol w:w="709"/>
        <w:gridCol w:w="995"/>
        <w:gridCol w:w="903"/>
        <w:gridCol w:w="900"/>
        <w:gridCol w:w="993"/>
        <w:gridCol w:w="788"/>
        <w:gridCol w:w="881"/>
        <w:gridCol w:w="525"/>
      </w:tblGrid>
      <w:tr w14:paraId="736D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806" w:type="dxa"/>
            <w:gridSpan w:val="15"/>
            <w:tcBorders>
              <w:top w:val="nil"/>
              <w:left w:val="nil"/>
              <w:right w:val="nil"/>
            </w:tcBorders>
          </w:tcPr>
          <w:p w14:paraId="77880BB8">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60" w:lineRule="exact"/>
              <w:ind w:left="0" w:right="0" w:firstLine="240" w:firstLineChars="100"/>
              <w:jc w:val="left"/>
              <w:rPr>
                <w:rFonts w:hint="default" w:ascii="黑体" w:hAnsi="黑体" w:eastAsia="黑体" w:cs="宋体"/>
                <w:color w:val="auto"/>
                <w:sz w:val="24"/>
                <w:szCs w:val="24"/>
                <w:u w:val="none"/>
              </w:rPr>
            </w:pPr>
            <w:r>
              <w:rPr>
                <w:rFonts w:hint="eastAsia" w:ascii="仿宋_GB2312" w:hAnsi="仿宋_GB2312" w:cs="仿宋_GB2312"/>
                <w:color w:val="auto"/>
                <w:sz w:val="24"/>
                <w:szCs w:val="24"/>
                <w:u w:val="none"/>
              </w:rPr>
              <w:t>编制单位：                                                                   编制时间：</w:t>
            </w:r>
            <w:r>
              <w:rPr>
                <w:rFonts w:hint="eastAsia" w:cs="仿宋_GB2312"/>
                <w:color w:val="auto"/>
                <w:sz w:val="24"/>
                <w:szCs w:val="24"/>
                <w:u w:val="none"/>
              </w:rPr>
              <w:t>2024</w:t>
            </w:r>
            <w:r>
              <w:rPr>
                <w:rFonts w:hint="eastAsia" w:ascii="仿宋_GB2312" w:hAnsi="仿宋_GB2312" w:cs="仿宋_GB2312"/>
                <w:color w:val="auto"/>
                <w:sz w:val="24"/>
                <w:szCs w:val="24"/>
                <w:u w:val="none"/>
              </w:rPr>
              <w:t>年</w:t>
            </w:r>
            <w:r>
              <w:rPr>
                <w:rFonts w:hint="eastAsia" w:cs="仿宋_GB2312"/>
                <w:color w:val="auto"/>
                <w:sz w:val="24"/>
                <w:szCs w:val="24"/>
                <w:u w:val="none"/>
              </w:rPr>
              <w:t>9</w:t>
            </w:r>
            <w:r>
              <w:rPr>
                <w:rFonts w:hint="eastAsia" w:ascii="仿宋_GB2312" w:hAnsi="仿宋_GB2312" w:cs="仿宋_GB2312"/>
                <w:color w:val="auto"/>
                <w:sz w:val="24"/>
                <w:szCs w:val="24"/>
                <w:u w:val="none"/>
              </w:rPr>
              <w:t>月  日</w:t>
            </w:r>
          </w:p>
        </w:tc>
      </w:tr>
      <w:tr w14:paraId="3346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581" w:type="dxa"/>
            <w:vAlign w:val="center"/>
          </w:tcPr>
          <w:p w14:paraId="56E28BC0">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序号</w:t>
            </w:r>
          </w:p>
        </w:tc>
        <w:tc>
          <w:tcPr>
            <w:tcW w:w="1533" w:type="dxa"/>
            <w:vAlign w:val="center"/>
          </w:tcPr>
          <w:p w14:paraId="5E95FFDD">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项目及</w:t>
            </w:r>
          </w:p>
          <w:p w14:paraId="761EC998">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品种名称</w:t>
            </w:r>
          </w:p>
        </w:tc>
        <w:tc>
          <w:tcPr>
            <w:tcW w:w="1280" w:type="dxa"/>
            <w:vAlign w:val="center"/>
          </w:tcPr>
          <w:p w14:paraId="45842766">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采购编码</w:t>
            </w:r>
          </w:p>
          <w:p w14:paraId="6F83CCE7">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w:t>
            </w:r>
            <w:r>
              <w:rPr>
                <w:rFonts w:hint="eastAsia" w:ascii="仿宋_GB2312" w:hAnsi="仿宋_GB2312" w:cs="仿宋_GB2312"/>
                <w:b/>
                <w:bCs/>
                <w:color w:val="auto"/>
                <w:sz w:val="21"/>
                <w:szCs w:val="21"/>
                <w:u w:val="none"/>
                <w:lang w:eastAsia="zh-CN"/>
              </w:rPr>
              <w:t>军</w:t>
            </w:r>
            <w:r>
              <w:rPr>
                <w:rFonts w:hint="eastAsia" w:ascii="仿宋_GB2312" w:hAnsi="仿宋_GB2312" w:cs="仿宋_GB2312"/>
                <w:b/>
                <w:bCs/>
                <w:color w:val="auto"/>
                <w:sz w:val="21"/>
                <w:szCs w:val="21"/>
                <w:u w:val="none"/>
              </w:rPr>
              <w:t>用物资</w:t>
            </w:r>
          </w:p>
          <w:p w14:paraId="0761BC54">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编目码）</w:t>
            </w:r>
          </w:p>
        </w:tc>
        <w:tc>
          <w:tcPr>
            <w:tcW w:w="731" w:type="dxa"/>
            <w:vAlign w:val="center"/>
          </w:tcPr>
          <w:p w14:paraId="3DAB255B">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预算科目</w:t>
            </w:r>
          </w:p>
        </w:tc>
        <w:tc>
          <w:tcPr>
            <w:tcW w:w="656" w:type="dxa"/>
            <w:vAlign w:val="center"/>
          </w:tcPr>
          <w:p w14:paraId="6BBF07C1">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规格型号</w:t>
            </w:r>
          </w:p>
        </w:tc>
        <w:tc>
          <w:tcPr>
            <w:tcW w:w="675" w:type="dxa"/>
            <w:vAlign w:val="center"/>
          </w:tcPr>
          <w:p w14:paraId="2E8226AD">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质量</w:t>
            </w:r>
            <w:r>
              <w:rPr>
                <w:rFonts w:hint="eastAsia" w:ascii="仿宋_GB2312" w:hAnsi="仿宋_GB2312" w:cs="仿宋_GB2312"/>
                <w:b/>
                <w:bCs/>
                <w:color w:val="auto"/>
                <w:sz w:val="21"/>
                <w:szCs w:val="21"/>
                <w:u w:val="none"/>
              </w:rPr>
              <w:br w:type="textWrapping"/>
            </w:r>
            <w:r>
              <w:rPr>
                <w:rFonts w:hint="eastAsia" w:ascii="仿宋_GB2312" w:hAnsi="仿宋_GB2312" w:cs="仿宋_GB2312"/>
                <w:b/>
                <w:bCs/>
                <w:color w:val="auto"/>
                <w:sz w:val="21"/>
                <w:szCs w:val="21"/>
                <w:u w:val="none"/>
              </w:rPr>
              <w:t>技术</w:t>
            </w:r>
            <w:r>
              <w:rPr>
                <w:rFonts w:hint="eastAsia" w:ascii="仿宋_GB2312" w:hAnsi="仿宋_GB2312" w:cs="仿宋_GB2312"/>
                <w:b/>
                <w:bCs/>
                <w:color w:val="auto"/>
                <w:sz w:val="21"/>
                <w:szCs w:val="21"/>
                <w:u w:val="none"/>
              </w:rPr>
              <w:br w:type="textWrapping"/>
            </w:r>
            <w:r>
              <w:rPr>
                <w:rFonts w:hint="eastAsia" w:ascii="仿宋_GB2312" w:hAnsi="仿宋_GB2312" w:cs="仿宋_GB2312"/>
                <w:b/>
                <w:bCs/>
                <w:color w:val="auto"/>
                <w:sz w:val="21"/>
                <w:szCs w:val="21"/>
                <w:u w:val="none"/>
              </w:rPr>
              <w:t>标准</w:t>
            </w:r>
          </w:p>
        </w:tc>
        <w:tc>
          <w:tcPr>
            <w:tcW w:w="656" w:type="dxa"/>
            <w:vAlign w:val="center"/>
          </w:tcPr>
          <w:p w14:paraId="3CDF30D9">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计量</w:t>
            </w:r>
            <w:r>
              <w:rPr>
                <w:rFonts w:hint="eastAsia" w:ascii="仿宋_GB2312" w:hAnsi="仿宋_GB2312" w:cs="仿宋_GB2312"/>
                <w:b/>
                <w:bCs/>
                <w:color w:val="auto"/>
                <w:sz w:val="21"/>
                <w:szCs w:val="21"/>
                <w:u w:val="none"/>
              </w:rPr>
              <w:br w:type="textWrapping"/>
            </w:r>
            <w:r>
              <w:rPr>
                <w:rFonts w:hint="eastAsia" w:ascii="仿宋_GB2312" w:hAnsi="仿宋_GB2312" w:cs="仿宋_GB2312"/>
                <w:b/>
                <w:bCs/>
                <w:color w:val="auto"/>
                <w:sz w:val="21"/>
                <w:szCs w:val="21"/>
                <w:u w:val="none"/>
              </w:rPr>
              <w:t>单位</w:t>
            </w:r>
          </w:p>
        </w:tc>
        <w:tc>
          <w:tcPr>
            <w:tcW w:w="709" w:type="dxa"/>
            <w:vAlign w:val="center"/>
          </w:tcPr>
          <w:p w14:paraId="46123F7A">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采购</w:t>
            </w:r>
            <w:r>
              <w:rPr>
                <w:rFonts w:hint="eastAsia" w:ascii="仿宋_GB2312" w:hAnsi="仿宋_GB2312" w:cs="仿宋_GB2312"/>
                <w:b/>
                <w:bCs/>
                <w:color w:val="auto"/>
                <w:sz w:val="21"/>
                <w:szCs w:val="21"/>
                <w:u w:val="none"/>
              </w:rPr>
              <w:br w:type="textWrapping"/>
            </w:r>
            <w:r>
              <w:rPr>
                <w:rFonts w:hint="eastAsia" w:ascii="仿宋_GB2312" w:hAnsi="仿宋_GB2312" w:cs="仿宋_GB2312"/>
                <w:b/>
                <w:bCs/>
                <w:color w:val="auto"/>
                <w:sz w:val="21"/>
                <w:szCs w:val="21"/>
                <w:u w:val="none"/>
              </w:rPr>
              <w:t>数量</w:t>
            </w:r>
          </w:p>
        </w:tc>
        <w:tc>
          <w:tcPr>
            <w:tcW w:w="995" w:type="dxa"/>
            <w:vAlign w:val="center"/>
          </w:tcPr>
          <w:p w14:paraId="4E218901">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单价</w:t>
            </w:r>
            <w:r>
              <w:rPr>
                <w:rFonts w:hint="eastAsia" w:ascii="仿宋_GB2312" w:hAnsi="仿宋_GB2312" w:cs="仿宋_GB2312"/>
                <w:b/>
                <w:bCs/>
                <w:color w:val="auto"/>
                <w:sz w:val="21"/>
                <w:szCs w:val="21"/>
                <w:u w:val="none"/>
              </w:rPr>
              <w:br w:type="textWrapping"/>
            </w:r>
            <w:r>
              <w:rPr>
                <w:rFonts w:hint="eastAsia" w:ascii="仿宋_GB2312" w:hAnsi="仿宋_GB2312" w:cs="仿宋_GB2312"/>
                <w:b/>
                <w:bCs/>
                <w:color w:val="auto"/>
                <w:sz w:val="21"/>
                <w:szCs w:val="21"/>
                <w:u w:val="none"/>
              </w:rPr>
              <w:t>（元）</w:t>
            </w:r>
          </w:p>
        </w:tc>
        <w:tc>
          <w:tcPr>
            <w:tcW w:w="903" w:type="dxa"/>
            <w:vAlign w:val="center"/>
          </w:tcPr>
          <w:p w14:paraId="388CF09C">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预算</w:t>
            </w:r>
          </w:p>
          <w:p w14:paraId="4FB729FD">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金额</w:t>
            </w:r>
          </w:p>
          <w:p w14:paraId="4490E0A4">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18"/>
                <w:szCs w:val="18"/>
                <w:u w:val="none"/>
              </w:rPr>
              <w:t>（万元）</w:t>
            </w:r>
          </w:p>
        </w:tc>
        <w:tc>
          <w:tcPr>
            <w:tcW w:w="900" w:type="dxa"/>
            <w:vAlign w:val="center"/>
          </w:tcPr>
          <w:p w14:paraId="73121B01">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最高</w:t>
            </w:r>
          </w:p>
          <w:p w14:paraId="244C2947">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限价</w:t>
            </w:r>
          </w:p>
          <w:p w14:paraId="646F116A">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18"/>
                <w:szCs w:val="18"/>
                <w:u w:val="none"/>
              </w:rPr>
              <w:t>（万元）</w:t>
            </w:r>
          </w:p>
        </w:tc>
        <w:tc>
          <w:tcPr>
            <w:tcW w:w="993" w:type="dxa"/>
            <w:vAlign w:val="center"/>
          </w:tcPr>
          <w:p w14:paraId="4F08E7A3">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交付</w:t>
            </w:r>
          </w:p>
          <w:p w14:paraId="6CDFC3E0">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（实施）</w:t>
            </w:r>
          </w:p>
          <w:p w14:paraId="592952F5">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时间</w:t>
            </w:r>
          </w:p>
        </w:tc>
        <w:tc>
          <w:tcPr>
            <w:tcW w:w="788" w:type="dxa"/>
            <w:vAlign w:val="center"/>
          </w:tcPr>
          <w:p w14:paraId="524061D2">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采购</w:t>
            </w:r>
          </w:p>
          <w:p w14:paraId="49FE366E">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方式</w:t>
            </w:r>
          </w:p>
          <w:p w14:paraId="50AC8FB9">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建议</w:t>
            </w:r>
          </w:p>
        </w:tc>
        <w:tc>
          <w:tcPr>
            <w:tcW w:w="881" w:type="dxa"/>
            <w:vAlign w:val="center"/>
          </w:tcPr>
          <w:p w14:paraId="176AD31F">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推荐</w:t>
            </w:r>
            <w:r>
              <w:rPr>
                <w:rFonts w:hint="eastAsia" w:ascii="仿宋_GB2312" w:hAnsi="仿宋_GB2312" w:cs="仿宋_GB2312"/>
                <w:b/>
                <w:bCs/>
                <w:color w:val="auto"/>
                <w:sz w:val="21"/>
                <w:szCs w:val="21"/>
                <w:u w:val="none"/>
              </w:rPr>
              <w:br w:type="textWrapping"/>
            </w:r>
            <w:r>
              <w:rPr>
                <w:rFonts w:hint="eastAsia" w:ascii="仿宋_GB2312" w:hAnsi="仿宋_GB2312" w:cs="仿宋_GB2312"/>
                <w:b/>
                <w:bCs/>
                <w:color w:val="auto"/>
                <w:sz w:val="21"/>
                <w:szCs w:val="21"/>
                <w:u w:val="none"/>
              </w:rPr>
              <w:t>供应商</w:t>
            </w:r>
            <w:r>
              <w:rPr>
                <w:rFonts w:hint="eastAsia" w:ascii="仿宋_GB2312" w:hAnsi="仿宋_GB2312" w:cs="仿宋_GB2312"/>
                <w:b/>
                <w:bCs/>
                <w:color w:val="auto"/>
                <w:sz w:val="21"/>
                <w:szCs w:val="21"/>
                <w:u w:val="none"/>
              </w:rPr>
              <w:br w:type="textWrapping"/>
            </w:r>
            <w:r>
              <w:rPr>
                <w:rFonts w:hint="eastAsia" w:ascii="仿宋_GB2312" w:hAnsi="仿宋_GB2312" w:cs="仿宋_GB2312"/>
                <w:b/>
                <w:bCs/>
                <w:color w:val="auto"/>
                <w:sz w:val="21"/>
                <w:szCs w:val="21"/>
                <w:u w:val="none"/>
              </w:rPr>
              <w:t>名称</w:t>
            </w:r>
          </w:p>
        </w:tc>
        <w:tc>
          <w:tcPr>
            <w:tcW w:w="525" w:type="dxa"/>
            <w:vAlign w:val="center"/>
          </w:tcPr>
          <w:p w14:paraId="1096A14A">
            <w:pPr>
              <w:keepNext w:val="0"/>
              <w:keepLines w:val="0"/>
              <w:suppressLineNumbers w:val="0"/>
              <w:pBdr>
                <w:top w:val="none" w:color="auto" w:sz="0" w:space="1"/>
                <w:left w:val="none" w:color="auto" w:sz="0" w:space="4"/>
                <w:bottom w:val="none" w:color="auto" w:sz="0" w:space="1"/>
                <w:right w:val="none" w:color="auto" w:sz="0" w:space="4"/>
              </w:pBdr>
              <w:overflowPunct w:val="0"/>
              <w:spacing w:before="0" w:beforeAutospacing="0" w:after="0" w:afterAutospacing="0" w:line="300" w:lineRule="exact"/>
              <w:ind w:left="0" w:right="0" w:firstLine="0" w:firstLineChars="0"/>
              <w:jc w:val="center"/>
              <w:rPr>
                <w:rFonts w:hint="default" w:ascii="仿宋_GB2312" w:hAnsi="仿宋_GB2312" w:cs="仿宋_GB2312"/>
                <w:b/>
                <w:bCs/>
                <w:color w:val="auto"/>
                <w:sz w:val="21"/>
                <w:szCs w:val="21"/>
                <w:u w:val="none"/>
              </w:rPr>
            </w:pPr>
            <w:r>
              <w:rPr>
                <w:rFonts w:hint="eastAsia" w:ascii="仿宋_GB2312" w:hAnsi="仿宋_GB2312" w:cs="仿宋_GB2312"/>
                <w:b/>
                <w:bCs/>
                <w:color w:val="auto"/>
                <w:sz w:val="21"/>
                <w:szCs w:val="21"/>
                <w:u w:val="none"/>
              </w:rPr>
              <w:t>备注</w:t>
            </w:r>
          </w:p>
        </w:tc>
      </w:tr>
      <w:tr w14:paraId="5B2E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81" w:type="dxa"/>
            <w:vAlign w:val="center"/>
          </w:tcPr>
          <w:p w14:paraId="6DEE7641">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60" w:lineRule="exact"/>
              <w:ind w:left="0" w:right="0" w:firstLine="0" w:firstLineChars="0"/>
              <w:jc w:val="center"/>
              <w:rPr>
                <w:rFonts w:hint="default" w:ascii="仿宋_GB2312" w:hAnsi="仿宋_GB2312" w:cs="仿宋_GB2312"/>
                <w:bCs/>
                <w:color w:val="auto"/>
                <w:kern w:val="0"/>
                <w:sz w:val="21"/>
                <w:szCs w:val="21"/>
                <w:u w:val="none"/>
              </w:rPr>
            </w:pPr>
            <w:r>
              <w:rPr>
                <w:rFonts w:hint="eastAsia" w:ascii="仿宋_GB2312" w:hAnsi="仿宋_GB2312" w:cs="仿宋_GB2312"/>
                <w:bCs/>
                <w:color w:val="auto"/>
                <w:kern w:val="0"/>
                <w:sz w:val="21"/>
                <w:szCs w:val="21"/>
                <w:u w:val="none"/>
              </w:rPr>
              <w:t>1</w:t>
            </w:r>
          </w:p>
        </w:tc>
        <w:tc>
          <w:tcPr>
            <w:tcW w:w="1533" w:type="dxa"/>
            <w:vAlign w:val="center"/>
          </w:tcPr>
          <w:p w14:paraId="24552457">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firstLine="0" w:firstLineChars="0"/>
              <w:jc w:val="center"/>
              <w:rPr>
                <w:rFonts w:hint="default" w:ascii="仿宋_GB2312" w:hAnsi="仿宋_GB2312" w:cs="仿宋_GB2312"/>
                <w:color w:val="auto"/>
                <w:kern w:val="0"/>
                <w:sz w:val="21"/>
                <w:szCs w:val="21"/>
                <w:u w:val="none"/>
              </w:rPr>
            </w:pPr>
            <w:r>
              <w:rPr>
                <w:rFonts w:hint="eastAsia" w:ascii="仿宋_GB2312" w:hAnsi="仿宋_GB2312" w:cs="仿宋_GB2312"/>
                <w:color w:val="auto"/>
                <w:kern w:val="0"/>
                <w:sz w:val="21"/>
                <w:szCs w:val="21"/>
                <w:u w:val="none"/>
              </w:rPr>
              <w:t>科研信息服务平台</w:t>
            </w:r>
          </w:p>
        </w:tc>
        <w:tc>
          <w:tcPr>
            <w:tcW w:w="1280" w:type="dxa"/>
            <w:vAlign w:val="center"/>
          </w:tcPr>
          <w:p w14:paraId="0316309F">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firstLine="0" w:firstLineChars="0"/>
              <w:jc w:val="center"/>
              <w:rPr>
                <w:rFonts w:hint="default" w:ascii="仿宋_GB2312" w:hAnsi="仿宋_GB2312" w:cs="仿宋_GB2312"/>
                <w:color w:val="auto"/>
                <w:kern w:val="0"/>
                <w:sz w:val="21"/>
                <w:szCs w:val="21"/>
                <w:u w:val="none"/>
              </w:rPr>
            </w:pPr>
          </w:p>
        </w:tc>
        <w:tc>
          <w:tcPr>
            <w:tcW w:w="731" w:type="dxa"/>
            <w:vAlign w:val="center"/>
          </w:tcPr>
          <w:p w14:paraId="753577D8">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firstLine="0" w:firstLineChars="0"/>
              <w:jc w:val="center"/>
              <w:rPr>
                <w:rFonts w:hint="default" w:ascii="仿宋_GB2312" w:hAnsi="仿宋_GB2312" w:cs="仿宋_GB2312"/>
                <w:color w:val="auto"/>
                <w:kern w:val="0"/>
                <w:sz w:val="21"/>
                <w:szCs w:val="21"/>
                <w:u w:val="none"/>
              </w:rPr>
            </w:pPr>
          </w:p>
        </w:tc>
        <w:tc>
          <w:tcPr>
            <w:tcW w:w="656" w:type="dxa"/>
            <w:vAlign w:val="center"/>
          </w:tcPr>
          <w:p w14:paraId="77769F7D">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firstLine="0" w:firstLineChars="0"/>
              <w:jc w:val="center"/>
              <w:rPr>
                <w:rFonts w:hint="default" w:ascii="仿宋_GB2312" w:hAnsi="仿宋_GB2312" w:cs="仿宋_GB2312"/>
                <w:color w:val="auto"/>
                <w:kern w:val="0"/>
                <w:sz w:val="21"/>
                <w:szCs w:val="21"/>
                <w:u w:val="none"/>
              </w:rPr>
            </w:pPr>
          </w:p>
        </w:tc>
        <w:tc>
          <w:tcPr>
            <w:tcW w:w="675" w:type="dxa"/>
            <w:vAlign w:val="center"/>
          </w:tcPr>
          <w:p w14:paraId="2282CE40">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firstLine="0" w:firstLineChars="0"/>
              <w:jc w:val="center"/>
              <w:rPr>
                <w:rFonts w:hint="default" w:ascii="仿宋_GB2312" w:hAnsi="仿宋_GB2312" w:cs="仿宋_GB2312"/>
                <w:color w:val="auto"/>
                <w:kern w:val="0"/>
                <w:sz w:val="21"/>
                <w:szCs w:val="21"/>
                <w:u w:val="none"/>
              </w:rPr>
            </w:pPr>
          </w:p>
        </w:tc>
        <w:tc>
          <w:tcPr>
            <w:tcW w:w="656" w:type="dxa"/>
            <w:vAlign w:val="center"/>
          </w:tcPr>
          <w:p w14:paraId="0B98BE09">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firstLine="0" w:firstLineChars="0"/>
              <w:jc w:val="center"/>
              <w:rPr>
                <w:rFonts w:hint="default" w:ascii="仿宋_GB2312" w:hAnsi="仿宋_GB2312" w:cs="仿宋_GB2312"/>
                <w:color w:val="auto"/>
                <w:kern w:val="0"/>
                <w:sz w:val="21"/>
                <w:szCs w:val="21"/>
                <w:u w:val="none"/>
              </w:rPr>
            </w:pPr>
          </w:p>
        </w:tc>
        <w:tc>
          <w:tcPr>
            <w:tcW w:w="709" w:type="dxa"/>
            <w:vAlign w:val="center"/>
          </w:tcPr>
          <w:p w14:paraId="7467265F">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firstLine="0" w:firstLineChars="0"/>
              <w:jc w:val="center"/>
              <w:rPr>
                <w:rFonts w:hint="default" w:ascii="仿宋_GB2312" w:hAnsi="仿宋_GB2312" w:cs="仿宋_GB2312"/>
                <w:color w:val="auto"/>
                <w:kern w:val="0"/>
                <w:sz w:val="21"/>
                <w:szCs w:val="21"/>
                <w:u w:val="none"/>
              </w:rPr>
            </w:pPr>
          </w:p>
        </w:tc>
        <w:tc>
          <w:tcPr>
            <w:tcW w:w="995" w:type="dxa"/>
            <w:vAlign w:val="center"/>
          </w:tcPr>
          <w:p w14:paraId="6E1FBEA1">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firstLine="0" w:firstLineChars="0"/>
              <w:jc w:val="center"/>
              <w:rPr>
                <w:rFonts w:hint="default" w:ascii="仿宋_GB2312" w:hAnsi="仿宋_GB2312" w:cs="仿宋_GB2312"/>
                <w:color w:val="auto"/>
                <w:kern w:val="0"/>
                <w:sz w:val="21"/>
                <w:szCs w:val="21"/>
                <w:u w:val="none"/>
              </w:rPr>
            </w:pPr>
          </w:p>
        </w:tc>
        <w:tc>
          <w:tcPr>
            <w:tcW w:w="903" w:type="dxa"/>
            <w:vAlign w:val="center"/>
          </w:tcPr>
          <w:p w14:paraId="242D7ED2">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firstLine="0" w:firstLineChars="0"/>
              <w:jc w:val="center"/>
              <w:rPr>
                <w:rFonts w:hint="default" w:ascii="仿宋_GB2312" w:hAnsi="仿宋_GB2312" w:cs="仿宋_GB2312"/>
                <w:color w:val="auto"/>
                <w:kern w:val="0"/>
                <w:sz w:val="21"/>
                <w:szCs w:val="21"/>
                <w:u w:val="none"/>
              </w:rPr>
            </w:pPr>
            <w:r>
              <w:rPr>
                <w:rFonts w:hint="eastAsia" w:cs="仿宋_GB2312"/>
                <w:color w:val="auto"/>
                <w:kern w:val="0"/>
                <w:sz w:val="21"/>
                <w:szCs w:val="21"/>
                <w:u w:val="none"/>
              </w:rPr>
              <w:t>190</w:t>
            </w:r>
          </w:p>
        </w:tc>
        <w:tc>
          <w:tcPr>
            <w:tcW w:w="900" w:type="dxa"/>
            <w:vAlign w:val="center"/>
          </w:tcPr>
          <w:p w14:paraId="4DD905E6">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firstLine="0" w:firstLineChars="0"/>
              <w:jc w:val="center"/>
              <w:rPr>
                <w:rFonts w:hint="default" w:ascii="仿宋_GB2312" w:hAnsi="仿宋_GB2312" w:cs="仿宋_GB2312"/>
                <w:color w:val="auto"/>
                <w:kern w:val="0"/>
                <w:sz w:val="21"/>
                <w:szCs w:val="21"/>
                <w:u w:val="none"/>
              </w:rPr>
            </w:pPr>
            <w:r>
              <w:rPr>
                <w:rFonts w:hint="eastAsia" w:ascii="仿宋_GB2312" w:hAnsi="仿宋_GB2312" w:cs="仿宋_GB2312"/>
                <w:color w:val="auto"/>
                <w:kern w:val="0"/>
                <w:sz w:val="21"/>
                <w:szCs w:val="21"/>
                <w:u w:val="none"/>
              </w:rPr>
              <w:t>190</w:t>
            </w:r>
          </w:p>
        </w:tc>
        <w:tc>
          <w:tcPr>
            <w:tcW w:w="993" w:type="dxa"/>
            <w:vAlign w:val="center"/>
          </w:tcPr>
          <w:p w14:paraId="2144D173">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firstLine="0" w:firstLineChars="0"/>
              <w:jc w:val="center"/>
              <w:rPr>
                <w:rFonts w:hint="default" w:ascii="仿宋_GB2312" w:hAnsi="仿宋_GB2312" w:cs="仿宋_GB2312"/>
                <w:color w:val="auto"/>
                <w:kern w:val="0"/>
                <w:sz w:val="21"/>
                <w:szCs w:val="21"/>
                <w:u w:val="none"/>
              </w:rPr>
            </w:pPr>
            <w:r>
              <w:rPr>
                <w:rFonts w:hint="eastAsia" w:ascii="仿宋_GB2312" w:hAnsi="仿宋_GB2312" w:cs="仿宋_GB2312"/>
                <w:color w:val="auto"/>
                <w:kern w:val="0"/>
                <w:sz w:val="21"/>
                <w:szCs w:val="21"/>
                <w:u w:val="none"/>
              </w:rPr>
              <w:t>合同签订后</w:t>
            </w:r>
            <w:r>
              <w:rPr>
                <w:rFonts w:hint="eastAsia" w:cs="仿宋_GB2312"/>
                <w:color w:val="auto"/>
                <w:kern w:val="0"/>
                <w:sz w:val="21"/>
                <w:szCs w:val="21"/>
                <w:u w:val="none"/>
              </w:rPr>
              <w:t>9个月</w:t>
            </w:r>
            <w:r>
              <w:rPr>
                <w:rFonts w:hint="eastAsia" w:ascii="仿宋_GB2312" w:hAnsi="仿宋_GB2312" w:cs="仿宋_GB2312"/>
                <w:color w:val="auto"/>
                <w:kern w:val="0"/>
                <w:sz w:val="21"/>
                <w:szCs w:val="21"/>
                <w:u w:val="none"/>
              </w:rPr>
              <w:t>内</w:t>
            </w:r>
          </w:p>
        </w:tc>
        <w:tc>
          <w:tcPr>
            <w:tcW w:w="788" w:type="dxa"/>
            <w:vAlign w:val="center"/>
          </w:tcPr>
          <w:p w14:paraId="54C90797">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firstLine="0" w:firstLineChars="0"/>
              <w:jc w:val="center"/>
              <w:rPr>
                <w:rFonts w:hint="default" w:ascii="仿宋_GB2312" w:hAnsi="仿宋_GB2312" w:cs="仿宋_GB2312"/>
                <w:color w:val="auto"/>
                <w:kern w:val="0"/>
                <w:sz w:val="21"/>
                <w:szCs w:val="21"/>
                <w:u w:val="none"/>
              </w:rPr>
            </w:pPr>
            <w:r>
              <w:rPr>
                <w:rFonts w:hint="eastAsia" w:ascii="仿宋_GB2312" w:hAnsi="仿宋_GB2312" w:cs="仿宋_GB2312"/>
                <w:color w:val="auto"/>
                <w:kern w:val="0"/>
                <w:sz w:val="21"/>
                <w:szCs w:val="21"/>
                <w:u w:val="none"/>
              </w:rPr>
              <w:t>公开招标</w:t>
            </w:r>
          </w:p>
        </w:tc>
        <w:tc>
          <w:tcPr>
            <w:tcW w:w="881" w:type="dxa"/>
            <w:vAlign w:val="center"/>
          </w:tcPr>
          <w:p w14:paraId="3FE5F994">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firstLine="0" w:firstLineChars="0"/>
              <w:jc w:val="center"/>
              <w:rPr>
                <w:rFonts w:hint="default" w:ascii="仿宋_GB2312" w:hAnsi="仿宋_GB2312" w:cs="仿宋_GB2312"/>
                <w:color w:val="auto"/>
                <w:kern w:val="0"/>
                <w:sz w:val="21"/>
                <w:szCs w:val="21"/>
                <w:u w:val="none"/>
              </w:rPr>
            </w:pPr>
            <w:r>
              <w:rPr>
                <w:rFonts w:hint="eastAsia" w:cs="仿宋_GB2312"/>
                <w:color w:val="auto"/>
                <w:kern w:val="0"/>
                <w:sz w:val="21"/>
                <w:szCs w:val="21"/>
                <w:u w:val="none"/>
              </w:rPr>
              <w:t>无</w:t>
            </w:r>
          </w:p>
        </w:tc>
        <w:tc>
          <w:tcPr>
            <w:tcW w:w="525" w:type="dxa"/>
            <w:vAlign w:val="center"/>
          </w:tcPr>
          <w:p w14:paraId="4C851FE0">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60" w:lineRule="exact"/>
              <w:ind w:left="0" w:right="0" w:firstLine="0" w:firstLineChars="0"/>
              <w:jc w:val="center"/>
              <w:rPr>
                <w:rFonts w:hint="default" w:ascii="仿宋_GB2312" w:hAnsi="仿宋_GB2312" w:cs="仿宋_GB2312"/>
                <w:color w:val="auto"/>
                <w:kern w:val="0"/>
                <w:sz w:val="21"/>
                <w:szCs w:val="21"/>
                <w:u w:val="none"/>
              </w:rPr>
            </w:pPr>
            <w:r>
              <w:rPr>
                <w:rFonts w:hint="eastAsia" w:cs="仿宋_GB2312"/>
                <w:color w:val="auto"/>
                <w:kern w:val="0"/>
                <w:sz w:val="21"/>
                <w:szCs w:val="21"/>
                <w:u w:val="none"/>
              </w:rPr>
              <w:t>无</w:t>
            </w:r>
            <w:r>
              <w:rPr>
                <w:rFonts w:hint="eastAsia" w:ascii="仿宋_GB2312" w:hAnsi="仿宋_GB2312" w:cs="仿宋_GB2312"/>
                <w:color w:val="auto"/>
                <w:kern w:val="0"/>
                <w:sz w:val="21"/>
                <w:szCs w:val="21"/>
                <w:u w:val="none"/>
              </w:rPr>
              <w:t>　</w:t>
            </w:r>
          </w:p>
        </w:tc>
      </w:tr>
    </w:tbl>
    <w:p w14:paraId="56F8EA3D">
      <w:pPr>
        <w:pBdr>
          <w:top w:val="none" w:color="auto" w:sz="0" w:space="1"/>
          <w:left w:val="none" w:color="auto" w:sz="0" w:space="4"/>
          <w:bottom w:val="none" w:color="auto" w:sz="0" w:space="1"/>
          <w:right w:val="none" w:color="auto" w:sz="0" w:space="4"/>
        </w:pBdr>
        <w:spacing w:line="578" w:lineRule="exact"/>
        <w:ind w:firstLine="643"/>
        <w:rPr>
          <w:rFonts w:eastAsia="黑体"/>
          <w:b/>
          <w:bCs/>
          <w:color w:val="auto"/>
          <w:szCs w:val="32"/>
          <w:u w:val="none"/>
        </w:rPr>
      </w:pPr>
    </w:p>
    <w:p w14:paraId="6D8E10CF">
      <w:pPr>
        <w:keepNext/>
        <w:keepLines/>
        <w:outlineLvl w:val="1"/>
        <w:rPr>
          <w:rFonts w:ascii="黑体" w:hAnsi="黑体" w:eastAsia="黑体" w:cs="Times New Roman"/>
          <w:color w:val="auto"/>
          <w:u w:val="none"/>
        </w:rPr>
        <w:sectPr>
          <w:footerReference r:id="rId5" w:type="default"/>
          <w:pgSz w:w="16838" w:h="11906" w:orient="landscape"/>
          <w:pgMar w:top="1800" w:right="1440" w:bottom="1800" w:left="1440" w:header="851" w:footer="992" w:gutter="0"/>
          <w:cols w:space="425" w:num="1"/>
          <w:docGrid w:type="lines" w:linePitch="312" w:charSpace="0"/>
        </w:sectPr>
      </w:pPr>
    </w:p>
    <w:p w14:paraId="350BAF09">
      <w:pPr>
        <w:keepNext/>
        <w:keepLines/>
        <w:ind w:firstLine="0" w:firstLineChars="0"/>
        <w:outlineLvl w:val="1"/>
        <w:rPr>
          <w:rFonts w:ascii="黑体" w:hAnsi="黑体" w:eastAsia="黑体" w:cs="Times New Roman"/>
          <w:color w:val="auto"/>
          <w:u w:val="none"/>
        </w:rPr>
      </w:pPr>
      <w:r>
        <w:rPr>
          <w:rFonts w:hint="eastAsia" w:ascii="黑体" w:hAnsi="黑体" w:eastAsia="黑体" w:cs="Times New Roman"/>
          <w:color w:val="auto"/>
          <w:u w:val="none"/>
        </w:rPr>
        <w:t>附件2</w:t>
      </w:r>
      <w:bookmarkEnd w:id="1"/>
    </w:p>
    <w:p w14:paraId="3961CB7C">
      <w:pPr>
        <w:pBdr>
          <w:top w:val="none" w:color="auto" w:sz="0" w:space="1"/>
          <w:left w:val="none" w:color="auto" w:sz="0" w:space="4"/>
          <w:bottom w:val="none" w:color="auto" w:sz="0" w:space="1"/>
          <w:right w:val="none" w:color="auto" w:sz="0" w:space="4"/>
        </w:pBdr>
        <w:overflowPunct w:val="0"/>
        <w:spacing w:before="156" w:beforeLines="50" w:after="156" w:afterLines="50" w:line="570" w:lineRule="exact"/>
        <w:ind w:firstLine="0" w:firstLineChars="0"/>
        <w:jc w:val="center"/>
        <w:rPr>
          <w:rFonts w:ascii="方正小标宋简体" w:hAnsi="仿宋" w:eastAsia="方正小标宋简体"/>
          <w:color w:val="auto"/>
          <w:sz w:val="44"/>
          <w:szCs w:val="44"/>
          <w:u w:val="none"/>
        </w:rPr>
      </w:pPr>
      <w:r>
        <w:rPr>
          <w:rFonts w:hint="eastAsia" w:ascii="方正小标宋简体" w:hAnsi="仿宋" w:eastAsia="方正小标宋简体"/>
          <w:color w:val="auto"/>
          <w:sz w:val="44"/>
          <w:szCs w:val="44"/>
          <w:u w:val="none"/>
        </w:rPr>
        <w:t>技术要求</w:t>
      </w:r>
    </w:p>
    <w:p w14:paraId="3661C187">
      <w:pPr>
        <w:pStyle w:val="2"/>
        <w:rPr>
          <w:color w:val="auto"/>
          <w:u w:val="none"/>
        </w:rPr>
      </w:pPr>
      <w:r>
        <w:rPr>
          <w:rFonts w:hint="eastAsia"/>
          <w:color w:val="auto"/>
          <w:u w:val="none"/>
        </w:rPr>
        <w:t>一、</w:t>
      </w:r>
      <w:r>
        <w:rPr>
          <w:color w:val="auto"/>
          <w:u w:val="none"/>
        </w:rPr>
        <w:t>概述</w:t>
      </w:r>
    </w:p>
    <w:p w14:paraId="26636E10">
      <w:pPr>
        <w:rPr>
          <w:color w:val="auto"/>
          <w:u w:val="none"/>
        </w:rPr>
      </w:pPr>
      <w:r>
        <w:rPr>
          <w:rFonts w:hint="eastAsia"/>
          <w:color w:val="auto"/>
          <w:u w:val="none"/>
        </w:rPr>
        <w:t>为充分发挥信息化、智慧化对科研工作带来的帮助和便利，建设科研信息服务平台，集成科研工作管理事项，满足对科研活动全过程管理。</w:t>
      </w:r>
    </w:p>
    <w:p w14:paraId="5682E271">
      <w:pPr>
        <w:pStyle w:val="2"/>
        <w:rPr>
          <w:color w:val="auto"/>
          <w:u w:val="none"/>
        </w:rPr>
      </w:pPr>
      <w:r>
        <w:rPr>
          <w:rFonts w:hint="eastAsia"/>
          <w:color w:val="auto"/>
          <w:u w:val="none"/>
        </w:rPr>
        <w:t>二、系统能力需求</w:t>
      </w:r>
    </w:p>
    <w:p w14:paraId="2A384F7A">
      <w:pPr>
        <w:pStyle w:val="3"/>
        <w:numPr>
          <w:ilvl w:val="255"/>
          <w:numId w:val="0"/>
        </w:numPr>
        <w:ind w:left="640" w:leftChars="200"/>
        <w:rPr>
          <w:color w:val="auto"/>
          <w:u w:val="none"/>
        </w:rPr>
      </w:pPr>
      <w:r>
        <w:rPr>
          <w:rFonts w:hint="eastAsia"/>
          <w:color w:val="auto"/>
          <w:u w:val="none"/>
        </w:rPr>
        <w:t>（一）系统功能</w:t>
      </w:r>
    </w:p>
    <w:p w14:paraId="78E7140A">
      <w:pPr>
        <w:rPr>
          <w:rFonts w:hint="eastAsia"/>
          <w:color w:val="auto"/>
          <w:u w:val="none"/>
        </w:rPr>
      </w:pPr>
      <w:r>
        <w:rPr>
          <w:rFonts w:hint="eastAsia"/>
          <w:color w:val="auto"/>
          <w:u w:val="none"/>
        </w:rPr>
        <w:t>建设科研主体管理模块、申报审核模块、基础资源项目管理模块、科研经费管理模块、科研诚信管理模块、科研信息统计模块、科研成果管理模块</w:t>
      </w:r>
      <w:r>
        <w:rPr>
          <w:rFonts w:hint="eastAsia"/>
          <w:color w:val="auto"/>
          <w:u w:val="none"/>
          <w:lang w:val="en-US" w:eastAsia="zh-CN"/>
        </w:rPr>
        <w:t>、</w:t>
      </w:r>
      <w:r>
        <w:rPr>
          <w:rFonts w:hint="eastAsia"/>
          <w:color w:val="auto"/>
          <w:u w:val="none"/>
        </w:rPr>
        <w:t>学术活动模块、成果转化模块、综合绩效评价模块、伦理和人类遗传资源管理模块、学术任职科研服务模块、科研办公模块</w:t>
      </w:r>
      <w:r>
        <w:rPr>
          <w:rFonts w:hint="eastAsia"/>
          <w:color w:val="auto"/>
          <w:u w:val="none"/>
          <w:lang w:eastAsia="zh-CN"/>
        </w:rPr>
        <w:t>、</w:t>
      </w:r>
      <w:r>
        <w:rPr>
          <w:rFonts w:hint="eastAsia"/>
          <w:color w:val="auto"/>
          <w:u w:val="none"/>
          <w:lang w:val="en-US" w:eastAsia="zh-CN"/>
        </w:rPr>
        <w:t>科研档案模块</w:t>
      </w:r>
      <w:r>
        <w:rPr>
          <w:rFonts w:hint="eastAsia"/>
          <w:color w:val="auto"/>
          <w:u w:val="none"/>
        </w:rPr>
        <w:t>等；实现与</w:t>
      </w:r>
      <w:r>
        <w:rPr>
          <w:rFonts w:hint="eastAsia"/>
          <w:color w:val="auto"/>
          <w:u w:val="none"/>
          <w:lang w:val="en-US" w:eastAsia="zh-CN"/>
        </w:rPr>
        <w:t>学校</w:t>
      </w:r>
      <w:r>
        <w:rPr>
          <w:rFonts w:hint="eastAsia"/>
          <w:color w:val="auto"/>
          <w:u w:val="none"/>
        </w:rPr>
        <w:t>数据中台的数据交互，与现有科研系统完成数据衔接。</w:t>
      </w:r>
    </w:p>
    <w:p w14:paraId="051B7541">
      <w:pPr>
        <w:pStyle w:val="3"/>
        <w:numPr>
          <w:ilvl w:val="255"/>
          <w:numId w:val="0"/>
        </w:numPr>
        <w:ind w:left="640" w:leftChars="200"/>
        <w:rPr>
          <w:color w:val="auto"/>
          <w:u w:val="none"/>
        </w:rPr>
      </w:pPr>
      <w:r>
        <w:rPr>
          <w:rFonts w:hint="eastAsia"/>
          <w:color w:val="auto"/>
          <w:u w:val="none"/>
        </w:rPr>
        <w:t>（二）体系架构</w:t>
      </w:r>
    </w:p>
    <w:p w14:paraId="4F040CE1">
      <w:pPr>
        <w:rPr>
          <w:rFonts w:eastAsiaTheme="minorEastAsia"/>
          <w:color w:val="auto"/>
          <w:u w:val="none"/>
        </w:rPr>
      </w:pPr>
      <w:r>
        <w:rPr>
          <w:rFonts w:hint="eastAsia" w:ascii="仿宋_GB2312"/>
          <w:color w:val="auto"/>
          <w:szCs w:val="32"/>
          <w:u w:val="none"/>
        </w:rPr>
        <w:t>技术架构采用B</w:t>
      </w:r>
      <w:r>
        <w:rPr>
          <w:rFonts w:ascii="仿宋_GB2312"/>
          <w:color w:val="auto"/>
          <w:szCs w:val="32"/>
          <w:u w:val="none"/>
        </w:rPr>
        <w:t>/S</w:t>
      </w:r>
      <w:r>
        <w:rPr>
          <w:rFonts w:hint="eastAsia" w:ascii="仿宋_GB2312"/>
          <w:color w:val="auto"/>
          <w:szCs w:val="32"/>
          <w:u w:val="none"/>
        </w:rPr>
        <w:t>架构框架，数据存储采用分布式存储技术。</w:t>
      </w:r>
    </w:p>
    <w:p w14:paraId="1422B867">
      <w:pPr>
        <w:ind w:firstLineChars="0"/>
        <w:rPr>
          <w:color w:val="auto"/>
          <w:u w:val="none"/>
        </w:rPr>
      </w:pPr>
      <w:r>
        <w:rPr>
          <w:rFonts w:hint="eastAsia"/>
          <w:color w:val="auto"/>
          <w:u w:val="none"/>
        </w:rPr>
        <w:t>系统功能如下图：</w:t>
      </w:r>
    </w:p>
    <w:p w14:paraId="3E27A94C">
      <w:pPr>
        <w:pStyle w:val="5"/>
        <w:spacing w:line="240" w:lineRule="auto"/>
        <w:ind w:firstLine="0" w:firstLineChars="0"/>
        <w:rPr>
          <w:rFonts w:hint="default"/>
          <w:color w:val="auto"/>
          <w:u w:val="none"/>
        </w:rPr>
      </w:pPr>
      <w:r>
        <w:rPr>
          <w:color w:val="auto"/>
          <w:u w:val="none"/>
        </w:rPr>
        <w:drawing>
          <wp:inline distT="0" distB="0" distL="0" distR="0">
            <wp:extent cx="5516880" cy="340296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t="3961"/>
                    <a:stretch>
                      <a:fillRect/>
                    </a:stretch>
                  </pic:blipFill>
                  <pic:spPr>
                    <a:xfrm>
                      <a:off x="0" y="0"/>
                      <a:ext cx="5531351" cy="3402965"/>
                    </a:xfrm>
                    <a:prstGeom prst="rect">
                      <a:avLst/>
                    </a:prstGeom>
                    <a:noFill/>
                  </pic:spPr>
                </pic:pic>
              </a:graphicData>
            </a:graphic>
          </wp:inline>
        </w:drawing>
      </w:r>
    </w:p>
    <w:p w14:paraId="45ECB8EB">
      <w:pPr>
        <w:pStyle w:val="5"/>
        <w:ind w:firstLine="0" w:firstLineChars="0"/>
        <w:jc w:val="center"/>
        <w:rPr>
          <w:rFonts w:hint="default"/>
          <w:color w:val="auto"/>
          <w:u w:val="none"/>
        </w:rPr>
      </w:pPr>
      <w:r>
        <w:rPr>
          <w:color w:val="auto"/>
          <w:u w:val="none"/>
        </w:rPr>
        <w:t>图1 科研信息服务平台功能架构图</w:t>
      </w:r>
    </w:p>
    <w:p w14:paraId="7FF0DBF6">
      <w:pPr>
        <w:pStyle w:val="3"/>
        <w:numPr>
          <w:ilvl w:val="255"/>
          <w:numId w:val="0"/>
        </w:numPr>
        <w:ind w:left="640" w:leftChars="200"/>
        <w:rPr>
          <w:color w:val="auto"/>
          <w:u w:val="none"/>
        </w:rPr>
      </w:pPr>
      <w:r>
        <w:rPr>
          <w:rFonts w:hint="eastAsia"/>
          <w:color w:val="auto"/>
          <w:u w:val="none"/>
        </w:rPr>
        <w:t>（三）面向用户</w:t>
      </w:r>
    </w:p>
    <w:p w14:paraId="3DE1BE48">
      <w:pPr>
        <w:ind w:firstLineChars="0"/>
        <w:jc w:val="left"/>
        <w:rPr>
          <w:color w:val="auto"/>
          <w:u w:val="none"/>
        </w:rPr>
      </w:pPr>
      <w:r>
        <w:rPr>
          <w:rFonts w:hint="eastAsia"/>
          <w:color w:val="auto"/>
          <w:u w:val="none"/>
        </w:rPr>
        <w:t>使用单位为大学所有单位，系统在外网和内网同步部署，提供给全校科技人员使用。外网端数据通过大学已有数据摆渡系统，向内网单向同步。</w:t>
      </w:r>
    </w:p>
    <w:p w14:paraId="5FBE8EFA">
      <w:pPr>
        <w:pStyle w:val="3"/>
        <w:numPr>
          <w:ilvl w:val="255"/>
          <w:numId w:val="0"/>
        </w:numPr>
        <w:ind w:left="640" w:leftChars="200"/>
        <w:rPr>
          <w:color w:val="auto"/>
          <w:u w:val="none"/>
        </w:rPr>
      </w:pPr>
      <w:r>
        <w:rPr>
          <w:rFonts w:hint="eastAsia"/>
          <w:color w:val="auto"/>
          <w:u w:val="none"/>
        </w:rPr>
        <w:t>（四）功能模块</w:t>
      </w:r>
    </w:p>
    <w:p w14:paraId="635CF676">
      <w:pPr>
        <w:pStyle w:val="33"/>
        <w:numPr>
          <w:ilvl w:val="0"/>
          <w:numId w:val="0"/>
        </w:numPr>
        <w:spacing w:before="0" w:after="0"/>
        <w:ind w:left="320" w:leftChars="100"/>
        <w:outlineLvl w:val="2"/>
        <w:rPr>
          <w:rFonts w:hint="default"/>
          <w:color w:val="auto"/>
          <w:u w:val="none"/>
        </w:rPr>
      </w:pPr>
      <w:r>
        <w:rPr>
          <w:color w:val="auto"/>
          <w:u w:val="none"/>
        </w:rPr>
        <w:t>1.</w:t>
      </w:r>
      <w:r>
        <w:rPr>
          <w:rFonts w:hint="default"/>
          <w:color w:val="auto"/>
          <w:u w:val="none"/>
        </w:rPr>
        <w:t>科研主体管理</w:t>
      </w:r>
    </w:p>
    <w:p w14:paraId="1D53D787">
      <w:pPr>
        <w:pStyle w:val="5"/>
        <w:numPr>
          <w:ilvl w:val="0"/>
          <w:numId w:val="3"/>
        </w:numPr>
        <w:ind w:firstLineChars="0"/>
        <w:rPr>
          <w:rFonts w:hint="default"/>
          <w:b/>
          <w:bCs/>
          <w:color w:val="auto"/>
          <w:u w:val="none"/>
        </w:rPr>
      </w:pPr>
      <w:r>
        <w:rPr>
          <w:b/>
          <w:bCs/>
          <w:color w:val="auto"/>
          <w:u w:val="none"/>
        </w:rPr>
        <w:t>基础信息</w:t>
      </w:r>
    </w:p>
    <w:p w14:paraId="499FA321">
      <w:pPr>
        <w:pStyle w:val="5"/>
        <w:ind w:firstLine="640"/>
        <w:rPr>
          <w:rFonts w:hint="default"/>
          <w:color w:val="auto"/>
          <w:u w:val="none"/>
        </w:rPr>
      </w:pPr>
      <w:r>
        <w:rPr>
          <w:color w:val="auto"/>
          <w:u w:val="none"/>
        </w:rPr>
        <w:t>组织机构：建立学校科研组织结构树。</w:t>
      </w:r>
    </w:p>
    <w:p w14:paraId="4A404233">
      <w:pPr>
        <w:pStyle w:val="5"/>
        <w:ind w:firstLine="640"/>
        <w:rPr>
          <w:rFonts w:hint="default"/>
          <w:color w:val="auto"/>
          <w:u w:val="none"/>
        </w:rPr>
      </w:pPr>
      <w:r>
        <w:rPr>
          <w:color w:val="auto"/>
          <w:u w:val="none"/>
        </w:rPr>
        <w:t>科研人员：构建个人科研详情概览，自定义配置展示数据项，提供个人科研详情表导出或者打印。扩充科研人员学术任职信息，提供任职登记及修改操作。</w:t>
      </w:r>
    </w:p>
    <w:p w14:paraId="5E40A815">
      <w:pPr>
        <w:pStyle w:val="5"/>
        <w:ind w:firstLine="640"/>
        <w:rPr>
          <w:rFonts w:hint="default"/>
          <w:color w:val="auto"/>
          <w:u w:val="none"/>
        </w:rPr>
      </w:pPr>
      <w:r>
        <w:rPr>
          <w:color w:val="auto"/>
          <w:u w:val="none"/>
        </w:rPr>
        <w:t>科研平台：提供科研平台信息登记、查询、维护等功能。</w:t>
      </w:r>
    </w:p>
    <w:p w14:paraId="43DD8F81">
      <w:pPr>
        <w:pStyle w:val="5"/>
        <w:numPr>
          <w:ilvl w:val="0"/>
          <w:numId w:val="3"/>
        </w:numPr>
        <w:ind w:firstLineChars="0"/>
        <w:rPr>
          <w:rFonts w:hint="default"/>
          <w:b/>
          <w:bCs/>
          <w:color w:val="auto"/>
          <w:u w:val="none"/>
        </w:rPr>
      </w:pPr>
      <w:r>
        <w:rPr>
          <w:b/>
          <w:bCs/>
          <w:color w:val="auto"/>
          <w:u w:val="none"/>
        </w:rPr>
        <w:t>专家库管理</w:t>
      </w:r>
    </w:p>
    <w:p w14:paraId="326E78CF">
      <w:pPr>
        <w:pStyle w:val="5"/>
        <w:ind w:firstLine="640"/>
        <w:rPr>
          <w:rFonts w:hint="default"/>
          <w:color w:val="auto"/>
          <w:u w:val="none"/>
        </w:rPr>
      </w:pPr>
      <w:r>
        <w:rPr>
          <w:color w:val="auto"/>
          <w:u w:val="none"/>
        </w:rPr>
        <w:t>建立专家库：构建校内专家遴选机制，根据专家信息自动遴选，按照学科、研究方向等自定义分组，并对专家分组进行管理与维护；构建校外专家库，对专家信息进行登记管理，并自定义分组，分配相应评审任务。</w:t>
      </w:r>
    </w:p>
    <w:p w14:paraId="4CFE79E5">
      <w:pPr>
        <w:pStyle w:val="5"/>
        <w:ind w:firstLine="640"/>
        <w:rPr>
          <w:rFonts w:hint="default"/>
          <w:color w:val="auto"/>
          <w:u w:val="none"/>
        </w:rPr>
      </w:pPr>
      <w:r>
        <w:rPr>
          <w:color w:val="auto"/>
          <w:u w:val="none"/>
        </w:rPr>
        <w:t>沉默专家管理：系统自动提醒超过一定期限未分配任务的专家信息，系统通过短信、邮件等方式自动问候专家。</w:t>
      </w:r>
    </w:p>
    <w:p w14:paraId="278D0589">
      <w:pPr>
        <w:pStyle w:val="5"/>
        <w:ind w:firstLine="640"/>
        <w:rPr>
          <w:rFonts w:hint="default"/>
          <w:color w:val="auto"/>
          <w:u w:val="none"/>
        </w:rPr>
      </w:pPr>
      <w:r>
        <w:rPr>
          <w:color w:val="auto"/>
          <w:u w:val="none"/>
        </w:rPr>
        <w:t>专家拒评管理：当专家拒绝接受任务时，应通过多种形式直接通知科研管理部门，并支持调整专家。</w:t>
      </w:r>
    </w:p>
    <w:p w14:paraId="09ABE689">
      <w:pPr>
        <w:pStyle w:val="5"/>
        <w:ind w:firstLine="640"/>
        <w:rPr>
          <w:rFonts w:hint="default"/>
          <w:color w:val="auto"/>
          <w:u w:val="none"/>
        </w:rPr>
      </w:pPr>
      <w:r>
        <w:rPr>
          <w:color w:val="auto"/>
          <w:u w:val="none"/>
        </w:rPr>
        <w:t>专家构成分析：能够通过自定义的形式分析专家的构成，分析专家接受任务的履行情况。</w:t>
      </w:r>
    </w:p>
    <w:p w14:paraId="3B2C55E9">
      <w:pPr>
        <w:pStyle w:val="5"/>
        <w:ind w:firstLine="640"/>
        <w:rPr>
          <w:rFonts w:hint="default"/>
          <w:color w:val="auto"/>
          <w:u w:val="none"/>
        </w:rPr>
      </w:pPr>
      <w:r>
        <w:rPr>
          <w:color w:val="auto"/>
          <w:u w:val="none"/>
        </w:rPr>
        <w:t>专家诚信管理：可以对接图书馆系统，系统自动发现专家诚信违规情况，并进行信息报送，并提供在线签署诚信承诺书功能。</w:t>
      </w:r>
    </w:p>
    <w:p w14:paraId="6D96C78C">
      <w:pPr>
        <w:pStyle w:val="5"/>
        <w:ind w:firstLine="640"/>
        <w:rPr>
          <w:color w:val="auto"/>
          <w:u w:val="none"/>
        </w:rPr>
      </w:pPr>
      <w:r>
        <w:rPr>
          <w:color w:val="auto"/>
          <w:u w:val="none"/>
        </w:rPr>
        <w:t>专家保密等级设定：可对专家的保密等级进行设定，可对专家的关键信息进行脱敏处理，支持双盲评审。</w:t>
      </w:r>
    </w:p>
    <w:p w14:paraId="76CAE0A8">
      <w:pPr>
        <w:pStyle w:val="5"/>
        <w:numPr>
          <w:ilvl w:val="0"/>
          <w:numId w:val="3"/>
        </w:numPr>
        <w:ind w:firstLineChars="0"/>
        <w:rPr>
          <w:rFonts w:hint="default"/>
          <w:b/>
          <w:bCs/>
          <w:color w:val="auto"/>
          <w:u w:val="none"/>
          <w:woUserID w:val="1"/>
        </w:rPr>
      </w:pPr>
      <w:r>
        <w:rPr>
          <w:rFonts w:hint="eastAsia"/>
          <w:b/>
          <w:bCs/>
          <w:color w:val="auto"/>
          <w:u w:val="none"/>
          <w:lang w:eastAsia="zh"/>
          <w:woUserID w:val="1"/>
        </w:rPr>
        <w:t>科研平台</w:t>
      </w:r>
      <w:r>
        <w:rPr>
          <w:b/>
          <w:bCs/>
          <w:color w:val="auto"/>
          <w:u w:val="none"/>
          <w:woUserID w:val="1"/>
        </w:rPr>
        <w:t>管理</w:t>
      </w:r>
    </w:p>
    <w:p w14:paraId="58435BE9">
      <w:pPr>
        <w:pStyle w:val="5"/>
        <w:ind w:firstLine="640"/>
        <w:rPr>
          <w:rFonts w:hint="eastAsia" w:eastAsia="仿宋_GB2312"/>
          <w:color w:val="auto"/>
          <w:u w:val="none"/>
          <w:lang w:eastAsia="zh"/>
          <w:woUserID w:val="1"/>
        </w:rPr>
      </w:pPr>
      <w:r>
        <w:rPr>
          <w:rFonts w:hint="eastAsia"/>
          <w:color w:val="auto"/>
          <w:u w:val="none"/>
          <w:lang w:eastAsia="zh"/>
          <w:woUserID w:val="1"/>
        </w:rPr>
        <w:t>对各类科研平台进行登记，包括人员、设备、场地，以实现对科研平台情况的实时掌控。</w:t>
      </w:r>
    </w:p>
    <w:p w14:paraId="66D65523">
      <w:pPr>
        <w:pStyle w:val="33"/>
        <w:numPr>
          <w:ilvl w:val="0"/>
          <w:numId w:val="0"/>
        </w:numPr>
        <w:spacing w:before="0" w:after="0"/>
        <w:ind w:left="320" w:leftChars="100"/>
        <w:outlineLvl w:val="2"/>
        <w:rPr>
          <w:rFonts w:hint="default"/>
          <w:color w:val="auto"/>
          <w:u w:val="none"/>
        </w:rPr>
      </w:pPr>
      <w:r>
        <w:rPr>
          <w:color w:val="auto"/>
          <w:u w:val="none"/>
        </w:rPr>
        <w:t>2.</w:t>
      </w:r>
      <w:r>
        <w:rPr>
          <w:b/>
          <w:bCs/>
          <w:color w:val="auto"/>
          <w:u w:val="none"/>
        </w:rPr>
        <w:t>▲</w:t>
      </w:r>
      <w:r>
        <w:rPr>
          <w:color w:val="auto"/>
          <w:u w:val="none"/>
        </w:rPr>
        <w:t>申报审核管理</w:t>
      </w:r>
      <w:r>
        <w:rPr>
          <w:b/>
          <w:bCs/>
          <w:color w:val="auto"/>
          <w:u w:val="none"/>
        </w:rPr>
        <w:t>（提供原型演示）</w:t>
      </w:r>
    </w:p>
    <w:p w14:paraId="14527832">
      <w:pPr>
        <w:pStyle w:val="5"/>
        <w:numPr>
          <w:ilvl w:val="0"/>
          <w:numId w:val="3"/>
        </w:numPr>
        <w:ind w:firstLineChars="0"/>
        <w:rPr>
          <w:rFonts w:hint="default"/>
          <w:b/>
          <w:bCs/>
          <w:color w:val="auto"/>
          <w:u w:val="none"/>
        </w:rPr>
      </w:pPr>
      <w:r>
        <w:rPr>
          <w:b/>
          <w:bCs/>
          <w:color w:val="auto"/>
          <w:u w:val="none"/>
        </w:rPr>
        <w:t>线上申报</w:t>
      </w:r>
    </w:p>
    <w:p w14:paraId="08306EA1">
      <w:pPr>
        <w:pStyle w:val="5"/>
        <w:ind w:firstLine="640"/>
        <w:rPr>
          <w:rFonts w:hint="default"/>
          <w:color w:val="auto"/>
          <w:u w:val="none"/>
        </w:rPr>
      </w:pPr>
      <w:r>
        <w:rPr>
          <w:color w:val="auto"/>
          <w:u w:val="none"/>
        </w:rPr>
        <w:t>申报计划管理：增加科研平台的申报计划管理功能。</w:t>
      </w:r>
    </w:p>
    <w:p w14:paraId="4A2ADD43">
      <w:pPr>
        <w:pStyle w:val="5"/>
        <w:ind w:firstLine="640"/>
        <w:rPr>
          <w:rFonts w:hint="default"/>
          <w:color w:val="auto"/>
          <w:u w:val="none"/>
        </w:rPr>
      </w:pPr>
      <w:r>
        <w:rPr>
          <w:color w:val="auto"/>
          <w:u w:val="none"/>
        </w:rPr>
        <w:t>立项项目录入：实现已完成申报的科研平台信息的补录。</w:t>
      </w:r>
    </w:p>
    <w:p w14:paraId="23CD19B9">
      <w:pPr>
        <w:pStyle w:val="5"/>
        <w:ind w:firstLine="640"/>
        <w:rPr>
          <w:rFonts w:hint="default"/>
          <w:color w:val="auto"/>
          <w:u w:val="none"/>
        </w:rPr>
      </w:pPr>
      <w:r>
        <w:rPr>
          <w:color w:val="auto"/>
          <w:u w:val="none"/>
        </w:rPr>
        <w:t>在线申报：申报计划发布后，增加向科研人员发送申报提醒信息功能，补充科研平台项目的在线申报功能。</w:t>
      </w:r>
    </w:p>
    <w:p w14:paraId="2534A157">
      <w:pPr>
        <w:pStyle w:val="5"/>
        <w:ind w:firstLine="640"/>
        <w:rPr>
          <w:rFonts w:hint="default"/>
          <w:color w:val="auto"/>
          <w:u w:val="none"/>
        </w:rPr>
      </w:pPr>
      <w:r>
        <w:rPr>
          <w:color w:val="auto"/>
          <w:u w:val="none"/>
        </w:rPr>
        <w:t>审批流程：补充科研平台的审批流程管理功能</w:t>
      </w:r>
    </w:p>
    <w:p w14:paraId="7643893A">
      <w:pPr>
        <w:pStyle w:val="5"/>
        <w:ind w:firstLine="640"/>
        <w:rPr>
          <w:rFonts w:hint="default"/>
          <w:color w:val="auto"/>
          <w:u w:val="none"/>
        </w:rPr>
      </w:pPr>
      <w:r>
        <w:rPr>
          <w:color w:val="auto"/>
          <w:u w:val="none"/>
        </w:rPr>
        <w:t>生成申报书：系统可根据申报人登记的项目基本信息、成员信息、预算信息以及申报书正文附件，自动合成申报书全文PDF文档，支持申报书全文在线浏览和审阅。</w:t>
      </w:r>
    </w:p>
    <w:p w14:paraId="54621778">
      <w:pPr>
        <w:pStyle w:val="5"/>
        <w:ind w:firstLine="640"/>
        <w:rPr>
          <w:rFonts w:hint="default"/>
          <w:color w:val="auto"/>
          <w:u w:val="none"/>
        </w:rPr>
      </w:pPr>
      <w:r>
        <w:rPr>
          <w:color w:val="auto"/>
          <w:u w:val="none"/>
        </w:rPr>
        <w:t>历史申报查看：科研管理人员可查看、查询历史批次的申报材料。</w:t>
      </w:r>
    </w:p>
    <w:p w14:paraId="1C2F80D9">
      <w:pPr>
        <w:pStyle w:val="5"/>
        <w:numPr>
          <w:ilvl w:val="0"/>
          <w:numId w:val="3"/>
        </w:numPr>
        <w:ind w:firstLineChars="0"/>
        <w:rPr>
          <w:rFonts w:hint="default"/>
          <w:b/>
          <w:bCs/>
          <w:color w:val="auto"/>
          <w:u w:val="none"/>
        </w:rPr>
      </w:pPr>
      <w:r>
        <w:rPr>
          <w:b/>
          <w:bCs/>
          <w:color w:val="auto"/>
          <w:u w:val="none"/>
        </w:rPr>
        <w:t>线上评审</w:t>
      </w:r>
    </w:p>
    <w:p w14:paraId="0ED01024">
      <w:pPr>
        <w:pStyle w:val="5"/>
        <w:ind w:firstLine="640"/>
        <w:rPr>
          <w:rFonts w:hint="default"/>
          <w:color w:val="auto"/>
          <w:u w:val="none"/>
        </w:rPr>
      </w:pPr>
      <w:r>
        <w:rPr>
          <w:color w:val="auto"/>
          <w:u w:val="none"/>
        </w:rPr>
        <w:t>评审计划发布：扩充科研管理人员可制定各类项目评审计划内容，例如评审计划名称、评审方案、评审计划状态以及评审指南等信息。</w:t>
      </w:r>
    </w:p>
    <w:p w14:paraId="462D5B32">
      <w:pPr>
        <w:pStyle w:val="5"/>
        <w:ind w:firstLine="640"/>
        <w:rPr>
          <w:rFonts w:hint="default"/>
          <w:color w:val="auto"/>
          <w:u w:val="none"/>
        </w:rPr>
      </w:pPr>
      <w:r>
        <w:rPr>
          <w:color w:val="auto"/>
          <w:u w:val="none"/>
        </w:rPr>
        <w:t>评审项目分配：系统提供专家分组；除短信通知外，对接邮件或者微信服务号，实时向评审专家推送评审通知。</w:t>
      </w:r>
    </w:p>
    <w:p w14:paraId="7C40B3DD">
      <w:pPr>
        <w:pStyle w:val="5"/>
        <w:ind w:firstLine="640"/>
        <w:rPr>
          <w:rFonts w:hint="default"/>
          <w:color w:val="auto"/>
          <w:u w:val="none"/>
        </w:rPr>
      </w:pPr>
      <w:r>
        <w:rPr>
          <w:color w:val="auto"/>
          <w:u w:val="none"/>
        </w:rPr>
        <w:t>评审结果统计：科研管理人员可在线查看各项目评审进度，汇总评审意见。可根据评审意见对项目进行立项操作。</w:t>
      </w:r>
    </w:p>
    <w:p w14:paraId="752AD8D5">
      <w:pPr>
        <w:pStyle w:val="5"/>
        <w:numPr>
          <w:ilvl w:val="0"/>
          <w:numId w:val="3"/>
        </w:numPr>
        <w:ind w:firstLineChars="0"/>
        <w:rPr>
          <w:rFonts w:hint="default"/>
          <w:b/>
          <w:bCs/>
          <w:color w:val="auto"/>
          <w:u w:val="none"/>
        </w:rPr>
      </w:pPr>
      <w:r>
        <w:rPr>
          <w:b/>
          <w:bCs/>
          <w:color w:val="auto"/>
          <w:u w:val="none"/>
        </w:rPr>
        <w:t>会议评审</w:t>
      </w:r>
    </w:p>
    <w:p w14:paraId="366E8930">
      <w:pPr>
        <w:pStyle w:val="5"/>
        <w:ind w:firstLine="640"/>
        <w:rPr>
          <w:rFonts w:hint="default"/>
          <w:color w:val="auto"/>
          <w:u w:val="none"/>
        </w:rPr>
      </w:pPr>
      <w:r>
        <w:rPr>
          <w:color w:val="auto"/>
          <w:u w:val="none"/>
        </w:rPr>
        <w:t>专家遴选和指派：科研管理人员可在线遴选和指派专家，平台以短信或者邮件的方式向专家发送相关会议评审通知；</w:t>
      </w:r>
    </w:p>
    <w:p w14:paraId="7A8E3B29">
      <w:pPr>
        <w:pStyle w:val="5"/>
        <w:ind w:firstLine="640"/>
        <w:rPr>
          <w:rFonts w:hint="default"/>
          <w:color w:val="auto"/>
          <w:u w:val="none"/>
        </w:rPr>
      </w:pPr>
      <w:r>
        <w:rPr>
          <w:color w:val="auto"/>
          <w:u w:val="none"/>
        </w:rPr>
        <w:t>评审结果管理：会议评审结束后，科研管理人员可线上登记评审结果，上传评审结论附件，系统可生成和打印专家评审结果汇总清单。</w:t>
      </w:r>
    </w:p>
    <w:p w14:paraId="534855A8">
      <w:pPr>
        <w:pStyle w:val="33"/>
        <w:numPr>
          <w:ilvl w:val="0"/>
          <w:numId w:val="0"/>
        </w:numPr>
        <w:spacing w:before="0" w:after="0"/>
        <w:ind w:left="320" w:leftChars="100"/>
        <w:outlineLvl w:val="2"/>
        <w:rPr>
          <w:rFonts w:hint="default"/>
          <w:color w:val="auto"/>
          <w:u w:val="none"/>
        </w:rPr>
      </w:pPr>
      <w:r>
        <w:rPr>
          <w:color w:val="auto"/>
          <w:u w:val="none"/>
        </w:rPr>
        <w:t>3.▲基础资源项目管理（提供原型演示）</w:t>
      </w:r>
    </w:p>
    <w:p w14:paraId="19D147A2">
      <w:pPr>
        <w:pStyle w:val="5"/>
        <w:numPr>
          <w:ilvl w:val="0"/>
          <w:numId w:val="3"/>
        </w:numPr>
        <w:ind w:firstLineChars="0"/>
        <w:rPr>
          <w:rFonts w:hint="default"/>
          <w:b/>
          <w:bCs/>
          <w:color w:val="auto"/>
          <w:u w:val="none"/>
        </w:rPr>
      </w:pPr>
      <w:r>
        <w:rPr>
          <w:b/>
          <w:bCs/>
          <w:color w:val="auto"/>
          <w:u w:val="none"/>
        </w:rPr>
        <w:t>横向项目管理</w:t>
      </w:r>
    </w:p>
    <w:p w14:paraId="4E50DCF9">
      <w:pPr>
        <w:pStyle w:val="5"/>
        <w:ind w:firstLine="640"/>
        <w:rPr>
          <w:rFonts w:hint="default"/>
          <w:color w:val="auto"/>
          <w:u w:val="none"/>
        </w:rPr>
      </w:pPr>
      <w:r>
        <w:rPr>
          <w:color w:val="auto"/>
          <w:u w:val="none"/>
        </w:rPr>
        <w:t>合同签审管理：可上传合同电子版提交审核，可浏览合同历史版本和审核意见，支持合同在线浏览和打印；在学校合同管理系统基础上增加部分字段，满足省技术合同认定登记系统登记审核的需要。</w:t>
      </w:r>
    </w:p>
    <w:p w14:paraId="30013CDD">
      <w:pPr>
        <w:pStyle w:val="5"/>
        <w:ind w:firstLine="640"/>
        <w:rPr>
          <w:rFonts w:hint="default"/>
          <w:color w:val="auto"/>
          <w:u w:val="none"/>
        </w:rPr>
      </w:pPr>
      <w:r>
        <w:rPr>
          <w:color w:val="auto"/>
          <w:u w:val="none"/>
        </w:rPr>
        <w:t>合同备案管理：已签署合同登记备案，提供合同增、删、改、查、审、Excel导入导出以及统计分析功能。</w:t>
      </w:r>
    </w:p>
    <w:p w14:paraId="4549DDFE">
      <w:pPr>
        <w:pStyle w:val="5"/>
        <w:ind w:firstLine="640"/>
        <w:rPr>
          <w:rFonts w:hint="default"/>
          <w:color w:val="auto"/>
          <w:u w:val="none"/>
        </w:rPr>
      </w:pPr>
      <w:r>
        <w:rPr>
          <w:color w:val="auto"/>
          <w:u w:val="none"/>
        </w:rPr>
        <w:t>合同变更管理：合同变更申请、审核和备案。</w:t>
      </w:r>
    </w:p>
    <w:p w14:paraId="73A0E72A">
      <w:pPr>
        <w:pStyle w:val="5"/>
        <w:ind w:firstLine="640"/>
        <w:rPr>
          <w:rFonts w:hint="default"/>
          <w:color w:val="auto"/>
          <w:u w:val="none"/>
        </w:rPr>
      </w:pPr>
      <w:r>
        <w:rPr>
          <w:color w:val="auto"/>
          <w:u w:val="none"/>
        </w:rPr>
        <w:t>合作单位资质管理：合作单位基本信息和相关资质材料管理。</w:t>
      </w:r>
    </w:p>
    <w:p w14:paraId="32BE2DCC">
      <w:pPr>
        <w:pStyle w:val="5"/>
        <w:ind w:firstLine="640"/>
        <w:rPr>
          <w:rFonts w:hint="default"/>
          <w:color w:val="auto"/>
          <w:u w:val="none"/>
        </w:rPr>
      </w:pPr>
      <w:r>
        <w:rPr>
          <w:color w:val="auto"/>
          <w:u w:val="none"/>
        </w:rPr>
        <w:t>合同分类管理：可设置合同类别，可上传和维护各类合同模板。</w:t>
      </w:r>
    </w:p>
    <w:p w14:paraId="55736865">
      <w:pPr>
        <w:pStyle w:val="5"/>
        <w:numPr>
          <w:ilvl w:val="0"/>
          <w:numId w:val="3"/>
        </w:numPr>
        <w:ind w:firstLineChars="0"/>
        <w:rPr>
          <w:rFonts w:hint="default"/>
          <w:b/>
          <w:bCs/>
          <w:color w:val="auto"/>
          <w:u w:val="none"/>
        </w:rPr>
      </w:pPr>
      <w:r>
        <w:rPr>
          <w:b/>
          <w:bCs/>
          <w:color w:val="auto"/>
          <w:u w:val="none"/>
        </w:rPr>
        <w:t>纵向项目</w:t>
      </w:r>
    </w:p>
    <w:p w14:paraId="709C9B77">
      <w:pPr>
        <w:pStyle w:val="5"/>
        <w:ind w:firstLine="640"/>
        <w:rPr>
          <w:rFonts w:hint="default"/>
          <w:color w:val="auto"/>
          <w:u w:val="none"/>
        </w:rPr>
      </w:pPr>
      <w:r>
        <w:rPr>
          <w:color w:val="auto"/>
          <w:u w:val="none"/>
        </w:rPr>
        <w:t>纵向项目接入：支持省部级、国家自然科学基金等项目文件批量导入，并能够自动识别文件内项目基本信息，可对导入数据完整性和有效性进行校验。同时支持国家社会科学基金项目、教育部人文社会科学研究项目立项数据包导入，并自动存储入库。</w:t>
      </w:r>
    </w:p>
    <w:p w14:paraId="319FBAE4">
      <w:pPr>
        <w:pStyle w:val="5"/>
        <w:ind w:firstLine="640"/>
        <w:rPr>
          <w:rFonts w:hint="default"/>
          <w:color w:val="auto"/>
          <w:u w:val="none"/>
        </w:rPr>
      </w:pPr>
      <w:r>
        <w:rPr>
          <w:color w:val="auto"/>
          <w:u w:val="none"/>
        </w:rPr>
        <w:t>模块授权：项目负责人可将所负责项目授权给他人管理，可以授权所有项目，可授权单个项目。被授权人登录系统后，可在线办理被授权的项目相关业务，如项目变更、经费认领等。</w:t>
      </w:r>
    </w:p>
    <w:p w14:paraId="0C21EA31">
      <w:pPr>
        <w:pStyle w:val="5"/>
        <w:ind w:firstLine="640"/>
        <w:rPr>
          <w:rFonts w:hint="default"/>
          <w:color w:val="auto"/>
          <w:u w:val="none"/>
        </w:rPr>
      </w:pPr>
      <w:r>
        <w:rPr>
          <w:color w:val="auto"/>
          <w:u w:val="none"/>
        </w:rPr>
        <w:t>项目预算追加：提供项目预算追加功能，科研人员在线登记追加信息，审核通过后，系统自动将本次追加的预算累加到项目总预算上。</w:t>
      </w:r>
    </w:p>
    <w:p w14:paraId="2A085BC0">
      <w:pPr>
        <w:pStyle w:val="5"/>
        <w:ind w:firstLine="640"/>
        <w:rPr>
          <w:color w:val="auto"/>
          <w:u w:val="none"/>
        </w:rPr>
      </w:pPr>
      <w:r>
        <w:rPr>
          <w:color w:val="auto"/>
          <w:u w:val="none"/>
        </w:rPr>
        <w:t>分类管理：可建立项目分类结构树，配置各类项目级别、预算标准、经费建卡模式、预算拆分规则、费用提取方案及其编号规则。</w:t>
      </w:r>
    </w:p>
    <w:p w14:paraId="6686A1FD">
      <w:pPr>
        <w:pStyle w:val="5"/>
        <w:ind w:firstLine="640"/>
        <w:rPr>
          <w:rFonts w:hint="eastAsia"/>
          <w:color w:val="auto"/>
          <w:u w:val="none"/>
          <w:lang w:val="en-US" w:eastAsia="zh-CN"/>
        </w:rPr>
      </w:pPr>
      <w:r>
        <w:rPr>
          <w:rFonts w:hint="eastAsia"/>
          <w:color w:val="auto"/>
          <w:u w:val="none"/>
          <w:lang w:val="en-US" w:eastAsia="zh-CN"/>
        </w:rPr>
        <w:t>提醒功能：</w:t>
      </w:r>
    </w:p>
    <w:p w14:paraId="087EA6B7">
      <w:pPr>
        <w:pStyle w:val="5"/>
        <w:ind w:firstLine="640"/>
        <w:rPr>
          <w:rFonts w:hint="eastAsia" w:eastAsia="仿宋_GB2312"/>
          <w:color w:val="auto"/>
          <w:u w:val="none"/>
          <w:lang w:eastAsia="zh-CN"/>
        </w:rPr>
      </w:pPr>
      <w:r>
        <w:rPr>
          <w:rFonts w:hint="eastAsia"/>
          <w:color w:val="auto"/>
          <w:u w:val="none"/>
          <w:lang w:val="en-US" w:eastAsia="zh-CN"/>
        </w:rPr>
        <w:t>节点配置：可通过配置关键节点，实现项目</w:t>
      </w:r>
      <w:r>
        <w:rPr>
          <w:color w:val="auto"/>
          <w:u w:val="none"/>
        </w:rPr>
        <w:t>过程中关键节点自动提醒</w:t>
      </w:r>
      <w:r>
        <w:rPr>
          <w:rFonts w:hint="eastAsia"/>
          <w:color w:val="auto"/>
          <w:u w:val="none"/>
          <w:lang w:eastAsia="zh-CN"/>
        </w:rPr>
        <w:t>；</w:t>
      </w:r>
    </w:p>
    <w:p w14:paraId="710A1CCE">
      <w:pPr>
        <w:pStyle w:val="5"/>
        <w:ind w:firstLine="640"/>
        <w:rPr>
          <w:color w:val="auto"/>
          <w:u w:val="none"/>
        </w:rPr>
      </w:pPr>
      <w:r>
        <w:rPr>
          <w:rFonts w:hint="eastAsia"/>
          <w:color w:val="auto"/>
          <w:u w:val="none"/>
          <w:lang w:val="en-US" w:eastAsia="zh-CN"/>
        </w:rPr>
        <w:t>填报提醒：达到相应时间后，自动提醒进行</w:t>
      </w:r>
      <w:r>
        <w:rPr>
          <w:color w:val="auto"/>
          <w:u w:val="none"/>
        </w:rPr>
        <w:t>年度计划</w:t>
      </w:r>
      <w:r>
        <w:rPr>
          <w:rFonts w:hint="eastAsia"/>
          <w:color w:val="auto"/>
          <w:u w:val="none"/>
          <w:lang w:val="en-US" w:eastAsia="zh-CN"/>
        </w:rPr>
        <w:t>以及</w:t>
      </w:r>
      <w:r>
        <w:rPr>
          <w:color w:val="auto"/>
          <w:u w:val="none"/>
        </w:rPr>
        <w:t>标志性成果填报等；</w:t>
      </w:r>
    </w:p>
    <w:p w14:paraId="5B137417">
      <w:pPr>
        <w:pStyle w:val="5"/>
        <w:ind w:firstLine="640"/>
        <w:rPr>
          <w:color w:val="auto"/>
          <w:u w:val="none"/>
        </w:rPr>
      </w:pPr>
      <w:r>
        <w:rPr>
          <w:rFonts w:hint="eastAsia"/>
          <w:color w:val="auto"/>
          <w:u w:val="none"/>
          <w:lang w:val="en-US" w:eastAsia="zh-CN"/>
        </w:rPr>
        <w:t>流程缺失提醒：比如监测到缺失</w:t>
      </w:r>
      <w:r>
        <w:rPr>
          <w:color w:val="auto"/>
          <w:u w:val="none"/>
        </w:rPr>
        <w:t>工程设计方案评审，试验大纲评审等</w:t>
      </w:r>
      <w:r>
        <w:rPr>
          <w:rFonts w:hint="eastAsia"/>
          <w:color w:val="auto"/>
          <w:u w:val="none"/>
          <w:lang w:eastAsia="zh-CN"/>
        </w:rPr>
        <w:t>，</w:t>
      </w:r>
      <w:r>
        <w:rPr>
          <w:rFonts w:hint="eastAsia"/>
          <w:color w:val="auto"/>
          <w:u w:val="none"/>
          <w:lang w:val="en-US" w:eastAsia="zh-CN"/>
        </w:rPr>
        <w:t>可提醒完善，支持导入导出</w:t>
      </w:r>
      <w:r>
        <w:rPr>
          <w:color w:val="auto"/>
          <w:u w:val="none"/>
        </w:rPr>
        <w:t>。</w:t>
      </w:r>
    </w:p>
    <w:p w14:paraId="15E7C8A0">
      <w:pPr>
        <w:pStyle w:val="33"/>
        <w:numPr>
          <w:ilvl w:val="0"/>
          <w:numId w:val="0"/>
        </w:numPr>
        <w:spacing w:before="0" w:after="0"/>
        <w:ind w:left="320" w:leftChars="100"/>
        <w:outlineLvl w:val="2"/>
        <w:rPr>
          <w:rFonts w:hint="default"/>
          <w:color w:val="auto"/>
          <w:u w:val="none"/>
        </w:rPr>
      </w:pPr>
      <w:r>
        <w:rPr>
          <w:color w:val="auto"/>
          <w:u w:val="none"/>
        </w:rPr>
        <w:t>4.</w:t>
      </w:r>
      <w:r>
        <w:rPr>
          <w:b/>
          <w:bCs/>
          <w:color w:val="auto"/>
          <w:u w:val="none"/>
        </w:rPr>
        <w:t>▲</w:t>
      </w:r>
      <w:r>
        <w:rPr>
          <w:color w:val="auto"/>
          <w:u w:val="none"/>
        </w:rPr>
        <w:t>科研经费管理（提供原型演示）</w:t>
      </w:r>
    </w:p>
    <w:p w14:paraId="51BEB7FF">
      <w:pPr>
        <w:pStyle w:val="5"/>
        <w:numPr>
          <w:ilvl w:val="0"/>
          <w:numId w:val="3"/>
        </w:numPr>
        <w:ind w:firstLineChars="0"/>
        <w:rPr>
          <w:rFonts w:hint="default"/>
          <w:b/>
          <w:bCs/>
          <w:color w:val="auto"/>
          <w:u w:val="none"/>
        </w:rPr>
      </w:pPr>
      <w:r>
        <w:rPr>
          <w:b/>
          <w:bCs/>
          <w:color w:val="auto"/>
          <w:u w:val="none"/>
        </w:rPr>
        <w:t>经费到账</w:t>
      </w:r>
    </w:p>
    <w:p w14:paraId="4515580D">
      <w:pPr>
        <w:pStyle w:val="5"/>
        <w:ind w:firstLine="640"/>
        <w:rPr>
          <w:rFonts w:hint="default"/>
          <w:color w:val="auto"/>
          <w:u w:val="none"/>
        </w:rPr>
      </w:pPr>
      <w:r>
        <w:rPr>
          <w:color w:val="auto"/>
          <w:u w:val="none"/>
        </w:rPr>
        <w:t>经费到账信息登记、查询、统计等，支持Excel批量导入</w:t>
      </w:r>
    </w:p>
    <w:p w14:paraId="0DDF8F35">
      <w:pPr>
        <w:pStyle w:val="5"/>
        <w:numPr>
          <w:ilvl w:val="0"/>
          <w:numId w:val="3"/>
        </w:numPr>
        <w:ind w:firstLineChars="0"/>
        <w:rPr>
          <w:rFonts w:hint="default"/>
          <w:b/>
          <w:bCs/>
          <w:color w:val="auto"/>
          <w:u w:val="none"/>
        </w:rPr>
      </w:pPr>
      <w:r>
        <w:rPr>
          <w:b/>
          <w:bCs/>
          <w:color w:val="auto"/>
          <w:u w:val="none"/>
        </w:rPr>
        <w:t>费用提取功能</w:t>
      </w:r>
    </w:p>
    <w:p w14:paraId="345FC961">
      <w:pPr>
        <w:pStyle w:val="5"/>
        <w:ind w:firstLine="640"/>
        <w:rPr>
          <w:rFonts w:hint="default"/>
          <w:color w:val="auto"/>
          <w:u w:val="none"/>
        </w:rPr>
      </w:pPr>
      <w:r>
        <w:rPr>
          <w:color w:val="auto"/>
          <w:u w:val="none"/>
        </w:rPr>
        <w:t>可根据项目类别设置其各类费用（大学管理费、二级单位管理费、科研条件支撑费、绩效支出等）提取参数和方案。可分批次提取管理费，也可以跨年度计算管理费和科研绩效等。项目入账登记时，各类费用自动提取、记录，可手动调整。</w:t>
      </w:r>
    </w:p>
    <w:p w14:paraId="1D415C15">
      <w:pPr>
        <w:pStyle w:val="5"/>
        <w:numPr>
          <w:ilvl w:val="0"/>
          <w:numId w:val="3"/>
        </w:numPr>
        <w:ind w:firstLineChars="0"/>
        <w:rPr>
          <w:rFonts w:hint="default"/>
          <w:b/>
          <w:bCs/>
          <w:color w:val="auto"/>
          <w:u w:val="none"/>
        </w:rPr>
      </w:pPr>
      <w:r>
        <w:rPr>
          <w:b/>
          <w:bCs/>
          <w:color w:val="auto"/>
          <w:u w:val="none"/>
        </w:rPr>
        <w:t>项目入账</w:t>
      </w:r>
    </w:p>
    <w:p w14:paraId="548496EB">
      <w:pPr>
        <w:pStyle w:val="5"/>
        <w:ind w:firstLine="640"/>
        <w:rPr>
          <w:rFonts w:hint="default"/>
          <w:color w:val="auto"/>
          <w:u w:val="none"/>
        </w:rPr>
      </w:pPr>
      <w:r>
        <w:rPr>
          <w:color w:val="auto"/>
          <w:u w:val="none"/>
        </w:rPr>
        <w:t>批量认领：批量到款可由科研管理人员网上批量分配，支持拨款单导入。</w:t>
      </w:r>
    </w:p>
    <w:p w14:paraId="3A0EB8EF">
      <w:pPr>
        <w:pStyle w:val="5"/>
        <w:ind w:firstLine="640"/>
        <w:rPr>
          <w:rFonts w:hint="default"/>
          <w:color w:val="auto"/>
          <w:u w:val="none"/>
        </w:rPr>
      </w:pPr>
      <w:r>
        <w:rPr>
          <w:color w:val="auto"/>
          <w:u w:val="none"/>
        </w:rPr>
        <w:t>个别认领：（不清楚来款归属项目的）可由项目负责人网上认领、打印审批表、按审批权限审批。</w:t>
      </w:r>
    </w:p>
    <w:p w14:paraId="27A6E7B8">
      <w:pPr>
        <w:pStyle w:val="5"/>
        <w:ind w:firstLine="640"/>
        <w:rPr>
          <w:rFonts w:hint="default"/>
          <w:color w:val="auto"/>
          <w:u w:val="none"/>
        </w:rPr>
      </w:pPr>
      <w:r>
        <w:rPr>
          <w:color w:val="auto"/>
          <w:u w:val="none"/>
        </w:rPr>
        <w:t>到账信息：可对项目到账信息进行查询、统计、导出。</w:t>
      </w:r>
    </w:p>
    <w:p w14:paraId="335143D7">
      <w:pPr>
        <w:pStyle w:val="5"/>
        <w:numPr>
          <w:ilvl w:val="0"/>
          <w:numId w:val="3"/>
        </w:numPr>
        <w:ind w:firstLineChars="0"/>
        <w:rPr>
          <w:rFonts w:hint="default"/>
          <w:color w:val="auto"/>
          <w:u w:val="none"/>
        </w:rPr>
      </w:pPr>
      <w:r>
        <w:rPr>
          <w:color w:val="auto"/>
          <w:u w:val="none"/>
        </w:rPr>
        <w:t>经费入账包含银行到款、项目入账、项目经费卡、预借票据、管理费科目设置、管理费提取方案等模块。</w:t>
      </w:r>
    </w:p>
    <w:p w14:paraId="2F9EB87E">
      <w:pPr>
        <w:pStyle w:val="5"/>
        <w:numPr>
          <w:ilvl w:val="0"/>
          <w:numId w:val="3"/>
        </w:numPr>
        <w:ind w:firstLineChars="0"/>
        <w:rPr>
          <w:rFonts w:hint="default"/>
          <w:color w:val="auto"/>
          <w:u w:val="none"/>
        </w:rPr>
      </w:pPr>
      <w:r>
        <w:rPr>
          <w:color w:val="auto"/>
          <w:u w:val="none"/>
        </w:rPr>
        <w:t>银行到账：银行到款的管理和维护，包含对冲账号、来款类型、来款单位、来款日期、来款金额、摘要等信息，支持数据的多维度查询及数据的导出；项目负责人选择对应的明细和项目并填写领取信息可实现经费的领取。</w:t>
      </w:r>
    </w:p>
    <w:p w14:paraId="5CF5D908">
      <w:pPr>
        <w:pStyle w:val="5"/>
        <w:numPr>
          <w:ilvl w:val="0"/>
          <w:numId w:val="3"/>
        </w:numPr>
        <w:ind w:firstLineChars="0"/>
        <w:rPr>
          <w:rFonts w:hint="default"/>
          <w:color w:val="auto"/>
          <w:u w:val="none"/>
        </w:rPr>
      </w:pPr>
      <w:r>
        <w:rPr>
          <w:color w:val="auto"/>
          <w:u w:val="none"/>
        </w:rPr>
        <w:t>项目入账：项目入账明细的查询，支持多条件查询及数据导出。</w:t>
      </w:r>
    </w:p>
    <w:p w14:paraId="7888C61A">
      <w:pPr>
        <w:pStyle w:val="5"/>
        <w:numPr>
          <w:ilvl w:val="0"/>
          <w:numId w:val="3"/>
        </w:numPr>
        <w:ind w:firstLineChars="0"/>
        <w:rPr>
          <w:rFonts w:hint="default"/>
          <w:color w:val="auto"/>
          <w:u w:val="none"/>
        </w:rPr>
      </w:pPr>
      <w:r>
        <w:rPr>
          <w:color w:val="auto"/>
          <w:u w:val="none"/>
        </w:rPr>
        <w:t>项目经费卡：项目经费的汇总，展示项目的总预算、总到账、结余信息。点击详情可查看该经费卡的入账明细。</w:t>
      </w:r>
    </w:p>
    <w:p w14:paraId="2627AD68">
      <w:pPr>
        <w:pStyle w:val="5"/>
        <w:numPr>
          <w:ilvl w:val="0"/>
          <w:numId w:val="3"/>
        </w:numPr>
        <w:ind w:firstLineChars="0"/>
        <w:rPr>
          <w:rFonts w:hint="default"/>
          <w:color w:val="auto"/>
          <w:u w:val="none"/>
        </w:rPr>
      </w:pPr>
      <w:r>
        <w:rPr>
          <w:color w:val="auto"/>
          <w:u w:val="none"/>
        </w:rPr>
        <w:t>管理费科目管理：对管理费科目的管理和维护，用于填写方案时科目的选择。</w:t>
      </w:r>
    </w:p>
    <w:p w14:paraId="70527A5E">
      <w:pPr>
        <w:pStyle w:val="5"/>
        <w:numPr>
          <w:ilvl w:val="0"/>
          <w:numId w:val="3"/>
        </w:numPr>
        <w:ind w:firstLineChars="0"/>
        <w:rPr>
          <w:rFonts w:hint="default"/>
          <w:color w:val="auto"/>
          <w:u w:val="none"/>
        </w:rPr>
      </w:pPr>
      <w:r>
        <w:rPr>
          <w:color w:val="auto"/>
          <w:u w:val="none"/>
        </w:rPr>
        <w:t>管理费提取方案：方案的管理和维护，包含管理费科目及计算规格，在经费认领时选择管理费方案计算管理费。</w:t>
      </w:r>
    </w:p>
    <w:p w14:paraId="730C559F">
      <w:pPr>
        <w:pStyle w:val="5"/>
        <w:numPr>
          <w:ilvl w:val="0"/>
          <w:numId w:val="3"/>
        </w:numPr>
        <w:ind w:firstLineChars="0"/>
        <w:rPr>
          <w:rFonts w:hint="default"/>
          <w:color w:val="auto"/>
          <w:u w:val="none"/>
        </w:rPr>
      </w:pPr>
      <w:r>
        <w:rPr>
          <w:color w:val="auto"/>
          <w:u w:val="none"/>
        </w:rPr>
        <w:t>经费执行包含：经费外拨、经费支出、绩效分配、经费结转。</w:t>
      </w:r>
    </w:p>
    <w:p w14:paraId="734D3B5E">
      <w:pPr>
        <w:pStyle w:val="5"/>
        <w:numPr>
          <w:ilvl w:val="0"/>
          <w:numId w:val="3"/>
        </w:numPr>
        <w:ind w:firstLineChars="0"/>
        <w:rPr>
          <w:rFonts w:hint="default"/>
          <w:color w:val="auto"/>
          <w:u w:val="none"/>
        </w:rPr>
      </w:pPr>
      <w:r>
        <w:rPr>
          <w:color w:val="auto"/>
          <w:u w:val="none"/>
        </w:rPr>
        <w:t>经费外拨：学校向合作单位拨款的管理，由项目负责人进行申报。</w:t>
      </w:r>
    </w:p>
    <w:p w14:paraId="75D5A3FA">
      <w:pPr>
        <w:pStyle w:val="5"/>
        <w:numPr>
          <w:ilvl w:val="0"/>
          <w:numId w:val="3"/>
        </w:numPr>
        <w:ind w:left="0" w:firstLine="0" w:firstLineChars="0"/>
        <w:rPr>
          <w:color w:val="auto"/>
          <w:u w:val="none"/>
        </w:rPr>
      </w:pPr>
      <w:r>
        <w:rPr>
          <w:color w:val="auto"/>
          <w:u w:val="none"/>
        </w:rPr>
        <w:t>经费支出：项目经费的支出申报，由项目负责人进行申报。</w:t>
      </w:r>
      <w:r>
        <w:rPr>
          <w:rFonts w:hint="eastAsia"/>
          <w:color w:val="auto"/>
          <w:u w:val="none"/>
          <w:lang w:val="en-US" w:eastAsia="zh-CN"/>
        </w:rPr>
        <w:t>生成报销单打印后，提交</w:t>
      </w:r>
      <w:r>
        <w:rPr>
          <w:rFonts w:hint="eastAsia"/>
          <w:color w:val="auto"/>
          <w:u w:val="none"/>
          <w:lang w:eastAsia="zh-CN"/>
        </w:rPr>
        <w:t>财务审核人员进行审核，审核通过进行项目经费报销</w:t>
      </w:r>
      <w:r>
        <w:rPr>
          <w:color w:val="auto"/>
          <w:u w:val="none"/>
        </w:rPr>
        <w:t>。</w:t>
      </w:r>
    </w:p>
    <w:p w14:paraId="670EC2CE">
      <w:pPr>
        <w:pStyle w:val="5"/>
        <w:numPr>
          <w:ilvl w:val="0"/>
          <w:numId w:val="3"/>
        </w:numPr>
        <w:ind w:firstLineChars="0"/>
        <w:rPr>
          <w:rFonts w:hint="default"/>
          <w:color w:val="auto"/>
          <w:u w:val="none"/>
        </w:rPr>
      </w:pPr>
      <w:r>
        <w:rPr>
          <w:color w:val="auto"/>
          <w:u w:val="none"/>
        </w:rPr>
        <w:t>绩效分配：由</w:t>
      </w:r>
      <w:r>
        <w:rPr>
          <w:color w:val="auto"/>
          <w:u w:val="none"/>
        </w:rPr>
        <w:t>项目负责人根据既往绩效发放情况，提出绩效分配申请</w:t>
      </w:r>
      <w:r>
        <w:rPr>
          <w:rFonts w:hint="eastAsia"/>
          <w:color w:val="auto"/>
          <w:u w:val="none"/>
          <w:lang w:eastAsia="zh-CN"/>
        </w:rPr>
        <w:t>，</w:t>
      </w:r>
      <w:r>
        <w:rPr>
          <w:color w:val="auto"/>
          <w:u w:val="none"/>
        </w:rPr>
        <w:t>可导出相应表格</w:t>
      </w:r>
      <w:r>
        <w:rPr>
          <w:rFonts w:hint="eastAsia"/>
          <w:color w:val="auto"/>
          <w:u w:val="none"/>
          <w:lang w:eastAsia="zh-CN"/>
        </w:rPr>
        <w:t>。</w:t>
      </w:r>
    </w:p>
    <w:p w14:paraId="355F1BE5">
      <w:pPr>
        <w:pStyle w:val="5"/>
        <w:numPr>
          <w:ilvl w:val="0"/>
          <w:numId w:val="3"/>
        </w:numPr>
        <w:ind w:left="0" w:firstLine="0" w:firstLineChars="0"/>
        <w:rPr>
          <w:color w:val="auto"/>
          <w:u w:val="none"/>
        </w:rPr>
      </w:pPr>
      <w:r>
        <w:rPr>
          <w:color w:val="auto"/>
          <w:u w:val="none"/>
        </w:rPr>
        <w:t>经费结转：</w:t>
      </w:r>
      <w:r>
        <w:rPr>
          <w:color w:val="auto"/>
          <w:highlight w:val="none"/>
          <w:u w:val="none"/>
        </w:rPr>
        <w:t>项目在研期间项目负责人申请将项目经费结转下一年度使用；结余留用、结余上缴：项目结题后根据主管部门验收意见，结合大学科研项目结余资金管理办法，项目负责人申请经费留用或结余上缴（经费留用时间可根据大学管理办法调整修改。</w:t>
      </w:r>
    </w:p>
    <w:p w14:paraId="78384FCE">
      <w:pPr>
        <w:pStyle w:val="5"/>
        <w:numPr>
          <w:ilvl w:val="0"/>
          <w:numId w:val="3"/>
        </w:numPr>
        <w:ind w:left="0" w:firstLine="0" w:firstLineChars="0"/>
        <w:rPr>
          <w:color w:val="auto"/>
          <w:u w:val="none"/>
        </w:rPr>
      </w:pPr>
      <w:r>
        <w:rPr>
          <w:color w:val="auto"/>
          <w:u w:val="none"/>
        </w:rPr>
        <w:t>预算经费</w:t>
      </w:r>
      <w:r>
        <w:rPr>
          <w:rFonts w:hint="eastAsia"/>
          <w:color w:val="auto"/>
          <w:u w:val="none"/>
          <w:lang w:eastAsia="zh-CN"/>
        </w:rPr>
        <w:t>：</w:t>
      </w:r>
      <w:r>
        <w:rPr>
          <w:rFonts w:hint="eastAsia"/>
          <w:color w:val="auto"/>
          <w:u w:val="none"/>
          <w:lang w:val="en-US" w:eastAsia="zh-CN"/>
        </w:rPr>
        <w:t>系统</w:t>
      </w:r>
      <w:r>
        <w:rPr>
          <w:rFonts w:hint="eastAsia"/>
          <w:color w:val="auto"/>
          <w:u w:val="none"/>
          <w:lang w:val="en-US" w:eastAsia="zh-CN"/>
        </w:rPr>
        <w:t>支持财务EXCEL表格数据导入功能，可以自动抓取表格内关键字，表格字段架构与财务保持一致，</w:t>
      </w:r>
      <w:r>
        <w:rPr>
          <w:color w:val="auto"/>
          <w:u w:val="none"/>
        </w:rPr>
        <w:t>便于掌握</w:t>
      </w:r>
      <w:r>
        <w:rPr>
          <w:rFonts w:hint="eastAsia"/>
          <w:color w:val="auto"/>
          <w:u w:val="none"/>
          <w:lang w:val="en-US" w:eastAsia="zh-CN"/>
        </w:rPr>
        <w:t>财务</w:t>
      </w:r>
      <w:r>
        <w:rPr>
          <w:color w:val="auto"/>
          <w:u w:val="none"/>
        </w:rPr>
        <w:t>执行情况）</w:t>
      </w:r>
    </w:p>
    <w:p w14:paraId="0222475C">
      <w:pPr>
        <w:pStyle w:val="33"/>
        <w:numPr>
          <w:ilvl w:val="0"/>
          <w:numId w:val="0"/>
        </w:numPr>
        <w:spacing w:before="0" w:after="0"/>
        <w:ind w:left="320" w:leftChars="100"/>
        <w:outlineLvl w:val="2"/>
        <w:rPr>
          <w:rFonts w:hint="default"/>
          <w:color w:val="auto"/>
          <w:u w:val="none"/>
        </w:rPr>
      </w:pPr>
      <w:r>
        <w:rPr>
          <w:color w:val="auto"/>
          <w:u w:val="none"/>
        </w:rPr>
        <w:t>5.科研诚信管理</w:t>
      </w:r>
    </w:p>
    <w:p w14:paraId="47467B68">
      <w:pPr>
        <w:pStyle w:val="5"/>
        <w:ind w:firstLine="640"/>
        <w:rPr>
          <w:rFonts w:hint="default"/>
          <w:color w:val="auto"/>
          <w:u w:val="none"/>
        </w:rPr>
      </w:pPr>
      <w:r>
        <w:rPr>
          <w:color w:val="auto"/>
          <w:u w:val="none"/>
        </w:rPr>
        <w:t>自动记录失信：可对诚信系统信息，抓取科研人员的失信通报、撤稿通报等信息。</w:t>
      </w:r>
    </w:p>
    <w:p w14:paraId="7BC5BE03">
      <w:pPr>
        <w:pStyle w:val="5"/>
        <w:ind w:firstLine="640"/>
        <w:rPr>
          <w:color w:val="auto"/>
          <w:u w:val="none"/>
        </w:rPr>
      </w:pPr>
      <w:r>
        <w:rPr>
          <w:color w:val="auto"/>
          <w:u w:val="none"/>
        </w:rPr>
        <w:t>失信查询：建立科研诚信数据库，提供科研诚信统计、分析功能。</w:t>
      </w:r>
    </w:p>
    <w:p w14:paraId="7E0FAF67">
      <w:pPr>
        <w:pStyle w:val="5"/>
        <w:ind w:firstLine="640"/>
        <w:rPr>
          <w:rFonts w:hint="default" w:eastAsia="仿宋_GB2312"/>
          <w:color w:val="auto"/>
          <w:u w:val="none"/>
          <w:lang w:val="en-US" w:eastAsia="zh-CN"/>
        </w:rPr>
      </w:pPr>
      <w:r>
        <w:rPr>
          <w:rFonts w:hint="eastAsia"/>
          <w:color w:val="auto"/>
          <w:u w:val="none"/>
          <w:lang w:val="en-US" w:eastAsia="zh-CN"/>
        </w:rPr>
        <w:t>科研</w:t>
      </w:r>
      <w:r>
        <w:rPr>
          <w:rFonts w:hint="eastAsia"/>
          <w:color w:val="auto"/>
          <w:u w:val="none"/>
          <w:lang w:val="en-US" w:eastAsia="zh-CN"/>
        </w:rPr>
        <w:t>诚信登记备案：</w:t>
      </w:r>
      <w:r>
        <w:rPr>
          <w:color w:val="auto"/>
          <w:u w:val="none"/>
        </w:rPr>
        <w:t>学术成果发表诚信承诺（每个作者承诺应具备实名认证功能，确保本人真实知情）、科研过程可追溯备案（要求相关备案信息可核查，即系统具备附佐证材料的功能），该系统中凡涉及到各项绩效统计涉及到该学术成果应用的，需具备自动检索该登记备案信息功能，如没有登记备案的学术成果不予认定，并予以锁定，在完成登记备案后才能参加</w:t>
      </w:r>
      <w:r>
        <w:rPr>
          <w:rFonts w:hint="eastAsia"/>
          <w:color w:val="auto"/>
          <w:u w:val="none"/>
          <w:lang w:eastAsia="zh-CN"/>
        </w:rPr>
        <w:t>，</w:t>
      </w:r>
      <w:r>
        <w:rPr>
          <w:rFonts w:hint="eastAsia"/>
          <w:color w:val="auto"/>
          <w:u w:val="none"/>
          <w:lang w:val="en-US" w:eastAsia="zh-CN"/>
        </w:rPr>
        <w:t>与校内其他信息平台对接、信息可查。</w:t>
      </w:r>
      <w:r>
        <w:rPr>
          <w:rFonts w:hint="eastAsia"/>
          <w:color w:val="auto"/>
          <w:u w:val="none"/>
          <w:lang w:val="en-US" w:eastAsia="zh-CN"/>
          <w:woUserID w:val="1"/>
        </w:rPr>
        <w:t>与数据中台对接，获取实验设备、实验室使用数据对接，关联实验论文成果。</w:t>
      </w:r>
    </w:p>
    <w:p w14:paraId="2FBB91A6">
      <w:pPr>
        <w:pStyle w:val="33"/>
        <w:numPr>
          <w:ilvl w:val="0"/>
          <w:numId w:val="0"/>
        </w:numPr>
        <w:spacing w:before="0" w:after="0"/>
        <w:ind w:left="320" w:leftChars="100"/>
        <w:outlineLvl w:val="2"/>
        <w:rPr>
          <w:rFonts w:hint="default"/>
          <w:color w:val="auto"/>
          <w:u w:val="none"/>
        </w:rPr>
      </w:pPr>
      <w:r>
        <w:rPr>
          <w:color w:val="auto"/>
          <w:u w:val="none"/>
        </w:rPr>
        <w:t>6.科研信息统计</w:t>
      </w:r>
    </w:p>
    <w:p w14:paraId="5A68124A">
      <w:pPr>
        <w:keepNext w:val="0"/>
        <w:keepLines w:val="0"/>
        <w:widowControl w:val="0"/>
        <w:suppressLineNumbers w:val="0"/>
        <w:adjustRightInd w:val="0"/>
        <w:spacing w:before="0" w:beforeAutospacing="1" w:after="0" w:afterAutospacing="1" w:line="300" w:lineRule="auto"/>
        <w:ind w:left="0" w:right="567" w:firstLine="640" w:firstLineChars="200"/>
        <w:jc w:val="both"/>
        <w:textAlignment w:val="baseline"/>
        <w:rPr>
          <w:rFonts w:hint="default" w:eastAsia="仿宋_GB2312"/>
          <w:color w:val="auto"/>
          <w:u w:val="none"/>
          <w:lang w:val="en-US" w:eastAsia="zh-CN"/>
        </w:rPr>
      </w:pPr>
      <w:r>
        <w:rPr>
          <w:color w:val="auto"/>
          <w:u w:val="none"/>
        </w:rPr>
        <w:t>科研平台统计：实现对科研平台人员、设备、成果等多角度的统计分析</w:t>
      </w:r>
      <w:r>
        <w:rPr>
          <w:rFonts w:hint="eastAsia"/>
          <w:color w:val="auto"/>
          <w:u w:val="none"/>
          <w:lang w:eastAsia="zh"/>
          <w:woUserID w:val="1"/>
        </w:rPr>
        <w:t>，支持</w:t>
      </w:r>
      <w:r>
        <w:rPr>
          <w:rFonts w:hint="eastAsia"/>
          <w:color w:val="auto"/>
          <w:u w:val="none"/>
          <w:lang w:val="en-US" w:eastAsia="zh"/>
          <w:woUserID w:val="1"/>
        </w:rPr>
        <w:t>科研计划管理和成果管理进行关联分析。</w:t>
      </w:r>
    </w:p>
    <w:p w14:paraId="758C61D7">
      <w:pPr>
        <w:pStyle w:val="33"/>
        <w:numPr>
          <w:ilvl w:val="0"/>
          <w:numId w:val="0"/>
        </w:numPr>
        <w:spacing w:before="0" w:after="0"/>
        <w:ind w:left="320" w:leftChars="100"/>
        <w:outlineLvl w:val="2"/>
        <w:rPr>
          <w:rFonts w:hint="default"/>
          <w:color w:val="auto"/>
          <w:u w:val="none"/>
        </w:rPr>
      </w:pPr>
      <w:r>
        <w:rPr>
          <w:color w:val="auto"/>
          <w:u w:val="none"/>
        </w:rPr>
        <w:t>7.科研成果管理</w:t>
      </w:r>
    </w:p>
    <w:p w14:paraId="3917636E">
      <w:pPr>
        <w:pStyle w:val="5"/>
        <w:numPr>
          <w:ilvl w:val="0"/>
          <w:numId w:val="3"/>
        </w:numPr>
        <w:ind w:firstLineChars="0"/>
        <w:rPr>
          <w:rFonts w:hint="default"/>
          <w:b/>
          <w:bCs/>
          <w:color w:val="auto"/>
          <w:u w:val="none"/>
        </w:rPr>
      </w:pPr>
      <w:r>
        <w:rPr>
          <w:b/>
          <w:bCs/>
          <w:color w:val="auto"/>
          <w:u w:val="none"/>
        </w:rPr>
        <w:t>论文管理与数据治理</w:t>
      </w:r>
    </w:p>
    <w:p w14:paraId="42A16D2A">
      <w:pPr>
        <w:pStyle w:val="5"/>
        <w:ind w:firstLine="640"/>
        <w:rPr>
          <w:rFonts w:hint="default"/>
          <w:color w:val="auto"/>
          <w:u w:val="none"/>
        </w:rPr>
      </w:pPr>
      <w:r>
        <w:rPr>
          <w:color w:val="auto"/>
          <w:u w:val="none"/>
        </w:rPr>
        <w:t>第三方导入：实现系统自动批量采集论文</w:t>
      </w:r>
      <w:r>
        <w:rPr>
          <w:rFonts w:hint="eastAsia"/>
          <w:color w:val="auto"/>
          <w:u w:val="none"/>
          <w:lang w:eastAsia="zh"/>
          <w:woUserID w:val="1"/>
        </w:rPr>
        <w:t>、专著、</w:t>
      </w:r>
      <w:r>
        <w:rPr>
          <w:rFonts w:hint="eastAsia"/>
          <w:color w:val="auto"/>
          <w:u w:val="none"/>
          <w:lang w:val="en-US" w:eastAsia="zh"/>
          <w:woUserID w:val="1"/>
        </w:rPr>
        <w:t>研究报告、决策咨询报告</w:t>
      </w:r>
      <w:r>
        <w:rPr>
          <w:rFonts w:hint="eastAsia"/>
          <w:color w:val="auto"/>
          <w:u w:val="none"/>
          <w:lang w:eastAsia="zh"/>
          <w:woUserID w:val="1"/>
        </w:rPr>
        <w:t>等</w:t>
      </w:r>
      <w:r>
        <w:rPr>
          <w:color w:val="auto"/>
          <w:u w:val="none"/>
        </w:rPr>
        <w:t>的数据库范围（知网、SCI、EI、科技统计源核心期刊等）和年限（采集近10年论文数据）。</w:t>
      </w:r>
    </w:p>
    <w:p w14:paraId="32D64D5C">
      <w:pPr>
        <w:pStyle w:val="5"/>
        <w:ind w:firstLine="640"/>
        <w:rPr>
          <w:rFonts w:hint="default"/>
          <w:color w:val="auto"/>
          <w:u w:val="none"/>
        </w:rPr>
      </w:pPr>
      <w:r>
        <w:rPr>
          <w:color w:val="auto"/>
          <w:u w:val="none"/>
        </w:rPr>
        <w:t>数据源跳转：点击采集的论文数据源，可跳转到论文信息原始页面查看论文信息（比如知网论文就跳转到知网页面）。</w:t>
      </w:r>
    </w:p>
    <w:p w14:paraId="497FDC86">
      <w:pPr>
        <w:pStyle w:val="5"/>
        <w:ind w:firstLine="640"/>
        <w:rPr>
          <w:rFonts w:hint="default"/>
          <w:color w:val="auto"/>
          <w:u w:val="none"/>
        </w:rPr>
      </w:pPr>
      <w:r>
        <w:rPr>
          <w:color w:val="auto"/>
          <w:u w:val="none"/>
        </w:rPr>
        <w:t>集中治理：针对多源异构数据进行集中治理，包括数据去重、可用性检查、完整性检查、类型转换处理、论文名称去标签、多数据源合并、补充缺失字段等，解决数据完整性、一致性、唯一性、合法性、权威性等问题，提升数据质量。</w:t>
      </w:r>
    </w:p>
    <w:p w14:paraId="6531DB4E">
      <w:pPr>
        <w:pStyle w:val="5"/>
        <w:ind w:firstLine="640"/>
        <w:rPr>
          <w:rFonts w:hint="default"/>
          <w:color w:val="auto"/>
          <w:u w:val="none"/>
        </w:rPr>
      </w:pPr>
      <w:r>
        <w:rPr>
          <w:color w:val="auto"/>
          <w:u w:val="none"/>
        </w:rPr>
        <w:t>智能识别：自动识别论文作者、排名和归属二级单位（院、系、中心等）信息。针对英文论文，通过机器训练、词表库比对、学科匹配等多种机制结合，提高论文识别率。</w:t>
      </w:r>
    </w:p>
    <w:p w14:paraId="32706579">
      <w:pPr>
        <w:pStyle w:val="5"/>
        <w:ind w:firstLine="640"/>
        <w:rPr>
          <w:rFonts w:hint="default"/>
          <w:color w:val="auto"/>
          <w:u w:val="none"/>
        </w:rPr>
      </w:pPr>
      <w:r>
        <w:rPr>
          <w:color w:val="auto"/>
          <w:u w:val="none"/>
        </w:rPr>
        <w:t>微信认领:论文数据治理、识别完成后，老师绑定和登录微信小程序，就可以随时随地轻松完成本人论文数据认领和确认。</w:t>
      </w:r>
    </w:p>
    <w:p w14:paraId="58A4CA0D">
      <w:pPr>
        <w:pStyle w:val="5"/>
        <w:ind w:firstLine="640"/>
        <w:rPr>
          <w:rFonts w:hint="default"/>
          <w:color w:val="auto"/>
          <w:u w:val="none"/>
        </w:rPr>
      </w:pPr>
      <w:r>
        <w:rPr>
          <w:color w:val="auto"/>
          <w:u w:val="none"/>
        </w:rPr>
        <w:t>共享应用:论文治理数据接入学校系统，实现论文治理数据共享和应用。</w:t>
      </w:r>
    </w:p>
    <w:p w14:paraId="628078E9">
      <w:pPr>
        <w:pStyle w:val="5"/>
        <w:ind w:firstLine="640"/>
        <w:rPr>
          <w:color w:val="auto"/>
          <w:u w:val="none"/>
        </w:rPr>
      </w:pPr>
      <w:r>
        <w:rPr>
          <w:color w:val="auto"/>
          <w:u w:val="none"/>
        </w:rPr>
        <w:t>数据包解析:系统能够自动解析数据包，能够将数据包中的相关数据关联到科研系统中的项目、成果中及对应的科研人员</w:t>
      </w:r>
      <w:r>
        <w:rPr>
          <w:color w:val="auto"/>
          <w:u w:val="none"/>
        </w:rPr>
        <w:t>。</w:t>
      </w:r>
    </w:p>
    <w:p w14:paraId="4C7AAE1F">
      <w:pPr>
        <w:pStyle w:val="5"/>
        <w:ind w:firstLine="640"/>
        <w:rPr>
          <w:color w:val="auto"/>
          <w:u w:val="none"/>
        </w:rPr>
      </w:pPr>
      <w:r>
        <w:rPr>
          <w:color w:val="auto"/>
          <w:u w:val="none"/>
        </w:rPr>
        <w:t>论文分区</w:t>
      </w:r>
      <w:r>
        <w:rPr>
          <w:rFonts w:hint="eastAsia"/>
          <w:color w:val="auto"/>
          <w:u w:val="none"/>
          <w:lang w:eastAsia="zh-CN"/>
        </w:rPr>
        <w:t>：</w:t>
      </w:r>
      <w:r>
        <w:rPr>
          <w:color w:val="auto"/>
          <w:u w:val="none"/>
        </w:rPr>
        <w:t>导入论文</w:t>
      </w:r>
      <w:r>
        <w:rPr>
          <w:rFonts w:hint="eastAsia"/>
          <w:color w:val="auto"/>
          <w:u w:val="none"/>
          <w:lang w:eastAsia="zh-CN"/>
        </w:rPr>
        <w:t>、</w:t>
      </w:r>
      <w:r>
        <w:rPr>
          <w:rFonts w:hint="eastAsia"/>
          <w:color w:val="auto"/>
          <w:u w:val="none"/>
          <w:lang w:val="en-US" w:eastAsia="zh-CN"/>
        </w:rPr>
        <w:t>研究报告以及决策咨询报告</w:t>
      </w:r>
      <w:r>
        <w:rPr>
          <w:color w:val="auto"/>
          <w:u w:val="none"/>
        </w:rPr>
        <w:t>目录，自动筛选分区；增加补录和修改功能；与每年发布的预警期刊联动，自动预警</w:t>
      </w:r>
      <w:r>
        <w:rPr>
          <w:rFonts w:hint="eastAsia"/>
          <w:color w:val="auto"/>
          <w:u w:val="none"/>
          <w:lang w:val="en-US" w:eastAsia="zh-CN"/>
        </w:rPr>
        <w:t>时间、经费</w:t>
      </w:r>
      <w:r>
        <w:rPr>
          <w:color w:val="auto"/>
          <w:u w:val="none"/>
        </w:rPr>
        <w:t>）</w:t>
      </w:r>
    </w:p>
    <w:p w14:paraId="6214AC60">
      <w:pPr>
        <w:pStyle w:val="5"/>
        <w:ind w:firstLine="640"/>
        <w:rPr>
          <w:rFonts w:hint="eastAsia" w:eastAsia="仿宋_GB2312"/>
          <w:color w:val="auto"/>
          <w:u w:val="none"/>
          <w:lang w:eastAsia="zh-CN"/>
        </w:rPr>
      </w:pPr>
      <w:r>
        <w:rPr>
          <w:rFonts w:hint="eastAsia"/>
          <w:color w:val="auto"/>
          <w:u w:val="none"/>
          <w:lang w:eastAsia="zh-CN"/>
        </w:rPr>
        <w:t>论文审核：配置审核人员对论文进行审核。</w:t>
      </w:r>
    </w:p>
    <w:p w14:paraId="38DB2483">
      <w:pPr>
        <w:pStyle w:val="5"/>
        <w:numPr>
          <w:ilvl w:val="0"/>
          <w:numId w:val="3"/>
        </w:numPr>
        <w:ind w:firstLineChars="0"/>
        <w:rPr>
          <w:rFonts w:hint="default"/>
          <w:b/>
          <w:bCs/>
          <w:color w:val="auto"/>
          <w:u w:val="none"/>
        </w:rPr>
      </w:pPr>
      <w:r>
        <w:rPr>
          <w:b/>
          <w:bCs/>
          <w:color w:val="auto"/>
          <w:u w:val="none"/>
        </w:rPr>
        <w:t>论文专利成果</w:t>
      </w:r>
    </w:p>
    <w:p w14:paraId="329FCE77">
      <w:pPr>
        <w:pStyle w:val="5"/>
        <w:ind w:firstLine="640"/>
        <w:rPr>
          <w:rFonts w:hint="default"/>
          <w:color w:val="auto"/>
          <w:u w:val="none"/>
        </w:rPr>
      </w:pPr>
      <w:r>
        <w:rPr>
          <w:color w:val="auto"/>
          <w:u w:val="none"/>
        </w:rPr>
        <w:t>专利登记审批：在原有填报、审核的基础上，增加查询、导入导出以及统计分析。</w:t>
      </w:r>
    </w:p>
    <w:p w14:paraId="1B4B73F7">
      <w:pPr>
        <w:pStyle w:val="5"/>
        <w:ind w:firstLine="640"/>
        <w:rPr>
          <w:rFonts w:hint="default"/>
          <w:color w:val="auto"/>
          <w:u w:val="none"/>
        </w:rPr>
      </w:pPr>
      <w:r>
        <w:rPr>
          <w:color w:val="auto"/>
          <w:u w:val="none"/>
        </w:rPr>
        <w:t>年费预警：对即将缴纳年费的专利进行识别，导出清单并预警。</w:t>
      </w:r>
    </w:p>
    <w:p w14:paraId="7BE83888">
      <w:pPr>
        <w:pStyle w:val="5"/>
        <w:ind w:firstLine="640"/>
        <w:rPr>
          <w:rFonts w:hint="default"/>
          <w:color w:val="auto"/>
          <w:u w:val="none"/>
        </w:rPr>
      </w:pPr>
      <w:r>
        <w:rPr>
          <w:color w:val="auto"/>
          <w:u w:val="none"/>
        </w:rPr>
        <w:t>专利跟踪：专利的法律状态、付费信息、是否授权等</w:t>
      </w:r>
      <w:r>
        <w:rPr>
          <w:rFonts w:hint="eastAsia"/>
          <w:color w:val="auto"/>
          <w:u w:val="none"/>
          <w:lang w:val="en-US" w:eastAsia="zh-CN"/>
        </w:rPr>
        <w:t>状态</w:t>
      </w:r>
      <w:r>
        <w:rPr>
          <w:color w:val="auto"/>
          <w:u w:val="none"/>
        </w:rPr>
        <w:t>。专利数据可以批量导出到EXCEL，也可通过EXCEL批量导入。</w:t>
      </w:r>
    </w:p>
    <w:p w14:paraId="1E904376">
      <w:pPr>
        <w:pStyle w:val="5"/>
        <w:ind w:firstLine="640"/>
        <w:rPr>
          <w:color w:val="auto"/>
          <w:u w:val="none"/>
        </w:rPr>
      </w:pPr>
      <w:r>
        <w:rPr>
          <w:color w:val="auto"/>
          <w:u w:val="none"/>
        </w:rPr>
        <w:t>专利代理管理；专利代理的申请、审核，专利代理公司可凭账号登陆系统。管理员可管理和维护专利代理公司基本信息和账号信息。</w:t>
      </w:r>
    </w:p>
    <w:p w14:paraId="58220705">
      <w:pPr>
        <w:pStyle w:val="5"/>
        <w:ind w:firstLine="0" w:firstLineChars="0"/>
        <w:rPr>
          <w:rFonts w:hint="eastAsia"/>
          <w:color w:val="auto"/>
          <w:u w:val="none"/>
          <w:lang w:eastAsia="zh-CN"/>
        </w:rPr>
      </w:pPr>
    </w:p>
    <w:p w14:paraId="0B60F259">
      <w:pPr>
        <w:pStyle w:val="5"/>
        <w:numPr>
          <w:ilvl w:val="-1"/>
          <w:numId w:val="0"/>
        </w:numPr>
        <w:ind w:left="0" w:firstLine="0" w:firstLineChars="0"/>
        <w:rPr>
          <w:rFonts w:hint="eastAsia" w:ascii="黑体" w:hAnsi="黑体" w:cs="黑体"/>
          <w:b w:val="0"/>
          <w:bCs w:val="0"/>
          <w:color w:val="auto"/>
          <w:szCs w:val="20"/>
          <w:u w:val="none"/>
          <w:lang w:eastAsia="zh"/>
          <w:woUserID w:val="1"/>
        </w:rPr>
      </w:pPr>
      <w:r>
        <w:rPr>
          <w:rFonts w:ascii="黑体" w:hAnsi="黑体" w:eastAsia="楷体_GB2312" w:cs="黑体"/>
          <w:color w:val="auto"/>
          <w:szCs w:val="20"/>
          <w:u w:val="none"/>
          <w:lang w:eastAsia="zh"/>
          <w:woUserID w:val="1"/>
        </w:rPr>
        <w:t>8.</w:t>
      </w:r>
      <w:r>
        <w:rPr>
          <w:rFonts w:hint="eastAsia" w:ascii="黑体" w:hAnsi="黑体" w:eastAsia="楷体_GB2312" w:cs="黑体"/>
          <w:color w:val="auto"/>
          <w:szCs w:val="20"/>
          <w:u w:val="none"/>
          <w:lang w:eastAsia="zh-CN"/>
          <w:woUserID w:val="1"/>
        </w:rPr>
        <w:t>学术活动</w:t>
      </w:r>
    </w:p>
    <w:p w14:paraId="38AAF83E">
      <w:pPr>
        <w:pStyle w:val="5"/>
        <w:ind w:firstLine="640"/>
        <w:rPr>
          <w:rFonts w:hint="default"/>
          <w:color w:val="auto"/>
          <w:u w:val="none"/>
        </w:rPr>
      </w:pPr>
      <w:r>
        <w:rPr>
          <w:color w:val="auto"/>
          <w:u w:val="none"/>
        </w:rPr>
        <w:t>学术交流：对主办会议、学术讲座、参加会议、合作研究（人员派遣、人员接受）等学术交流活动信息登记、审核、查询、导入导出以及统计分析。</w:t>
      </w:r>
    </w:p>
    <w:p w14:paraId="13DEEC56">
      <w:pPr>
        <w:pStyle w:val="5"/>
        <w:ind w:firstLineChars="0"/>
        <w:rPr>
          <w:color w:val="auto"/>
          <w:u w:val="none"/>
        </w:rPr>
      </w:pPr>
      <w:r>
        <w:rPr>
          <w:color w:val="auto"/>
          <w:u w:val="none"/>
        </w:rPr>
        <w:t>学术学风管理：支持对学术组织信息、学术活动信息、学术不端行为信息进行登记、删除、编辑、审核、导入、导出和统计等功能。</w:t>
      </w:r>
    </w:p>
    <w:p w14:paraId="0DD9E40E">
      <w:pPr>
        <w:pStyle w:val="5"/>
        <w:ind w:firstLineChars="0"/>
        <w:rPr>
          <w:color w:val="auto"/>
          <w:u w:val="none"/>
        </w:rPr>
      </w:pPr>
      <w:r>
        <w:rPr>
          <w:rFonts w:hint="eastAsia"/>
          <w:color w:val="auto"/>
          <w:u w:val="none"/>
          <w:lang w:val="en-US" w:eastAsia="zh-CN"/>
        </w:rPr>
        <w:t>申报与备案：年初申报、年底</w:t>
      </w:r>
      <w:r>
        <w:rPr>
          <w:rFonts w:hint="eastAsia"/>
          <w:color w:val="auto"/>
          <w:u w:val="none"/>
          <w:lang w:val="en-US" w:eastAsia="zh-CN"/>
        </w:rPr>
        <w:t>备案，支持</w:t>
      </w:r>
      <w:r>
        <w:rPr>
          <w:color w:val="auto"/>
          <w:u w:val="none"/>
        </w:rPr>
        <w:t>导入学术团体白名单；</w:t>
      </w:r>
      <w:r>
        <w:rPr>
          <w:rFonts w:hint="eastAsia"/>
          <w:color w:val="auto"/>
          <w:u w:val="none"/>
          <w:lang w:val="en-US" w:eastAsia="zh-CN"/>
        </w:rPr>
        <w:t>支持实现</w:t>
      </w:r>
      <w:r>
        <w:rPr>
          <w:color w:val="auto"/>
          <w:u w:val="none"/>
        </w:rPr>
        <w:t>周学术活动发布。</w:t>
      </w:r>
    </w:p>
    <w:p w14:paraId="2813EABA">
      <w:pPr>
        <w:pStyle w:val="33"/>
        <w:numPr>
          <w:ilvl w:val="0"/>
          <w:numId w:val="0"/>
        </w:numPr>
        <w:spacing w:before="0" w:after="0"/>
        <w:ind w:left="320" w:leftChars="100"/>
        <w:outlineLvl w:val="2"/>
        <w:rPr>
          <w:rFonts w:hint="default"/>
          <w:color w:val="auto"/>
          <w:u w:val="none"/>
        </w:rPr>
      </w:pPr>
      <w:r>
        <w:rPr>
          <w:rFonts w:hint="eastAsia"/>
          <w:color w:val="auto"/>
          <w:u w:val="none"/>
          <w:lang w:eastAsia="zh"/>
          <w:woUserID w:val="1"/>
        </w:rPr>
        <w:t>9</w:t>
      </w:r>
      <w:r>
        <w:rPr>
          <w:color w:val="auto"/>
          <w:u w:val="none"/>
        </w:rPr>
        <w:t>.成果转化</w:t>
      </w:r>
    </w:p>
    <w:p w14:paraId="43514E3D">
      <w:pPr>
        <w:pStyle w:val="5"/>
        <w:ind w:firstLine="640"/>
        <w:rPr>
          <w:rFonts w:hint="default"/>
          <w:color w:val="auto"/>
          <w:u w:val="none"/>
        </w:rPr>
      </w:pPr>
      <w:r>
        <w:rPr>
          <w:color w:val="auto"/>
          <w:u w:val="none"/>
        </w:rPr>
        <w:t>成果转化：包括申请、合同审核、开票申请审核、入账申请、经费划拨申请、项目综合查询、项目年终考核与评价。</w:t>
      </w:r>
    </w:p>
    <w:p w14:paraId="2BA5CA1D">
      <w:pPr>
        <w:pStyle w:val="5"/>
        <w:ind w:firstLine="640"/>
        <w:rPr>
          <w:rFonts w:hint="default"/>
          <w:color w:val="auto"/>
          <w:u w:val="none"/>
        </w:rPr>
      </w:pPr>
      <w:r>
        <w:rPr>
          <w:color w:val="auto"/>
          <w:u w:val="none"/>
        </w:rPr>
        <w:t>成果转化专家库：科研人员基本信息、专家知识产权信息管理及维护，查询、统计及导出；可生成个人知识产权详情概览。</w:t>
      </w:r>
    </w:p>
    <w:p w14:paraId="5ACAB725">
      <w:pPr>
        <w:pStyle w:val="5"/>
        <w:ind w:firstLine="640"/>
        <w:rPr>
          <w:rFonts w:hint="default"/>
          <w:color w:val="auto"/>
          <w:u w:val="none"/>
        </w:rPr>
      </w:pPr>
      <w:r>
        <w:rPr>
          <w:color w:val="auto"/>
          <w:u w:val="none"/>
        </w:rPr>
        <w:t>专利成果库：项目介绍、项目团队、研究领域、配套专利展示及发布。</w:t>
      </w:r>
    </w:p>
    <w:p w14:paraId="0AC55341">
      <w:pPr>
        <w:pStyle w:val="5"/>
        <w:ind w:firstLine="640"/>
        <w:rPr>
          <w:rFonts w:hint="default"/>
          <w:color w:val="auto"/>
          <w:u w:val="none"/>
        </w:rPr>
      </w:pPr>
      <w:r>
        <w:rPr>
          <w:color w:val="auto"/>
          <w:u w:val="none"/>
        </w:rPr>
        <w:t>转化申请：个人可从专利成果库中选择专利，提出转化申请，生成打印申请表单，全流程审批。</w:t>
      </w:r>
    </w:p>
    <w:p w14:paraId="0AFC502C">
      <w:pPr>
        <w:pStyle w:val="5"/>
        <w:ind w:firstLine="640"/>
        <w:rPr>
          <w:rFonts w:hint="default"/>
          <w:color w:val="auto"/>
          <w:u w:val="none"/>
        </w:rPr>
      </w:pPr>
      <w:r>
        <w:rPr>
          <w:color w:val="auto"/>
          <w:u w:val="none"/>
        </w:rPr>
        <w:t>合同管理：支持根据不同合同模版将选定专利的主要信息自动填充，生成合同。输入、审批、查询合同进度及状态。</w:t>
      </w:r>
    </w:p>
    <w:p w14:paraId="109D689F">
      <w:pPr>
        <w:pStyle w:val="5"/>
        <w:ind w:firstLine="640"/>
        <w:rPr>
          <w:rFonts w:hint="eastAsia" w:eastAsia="仿宋_GB2312"/>
          <w:color w:val="auto"/>
          <w:u w:val="none"/>
          <w:lang w:eastAsia="zh"/>
          <w:woUserID w:val="1"/>
        </w:rPr>
      </w:pPr>
      <w:r>
        <w:rPr>
          <w:color w:val="auto"/>
          <w:u w:val="none"/>
        </w:rPr>
        <w:t>财务协同：支持到账经费认领、开票。选择奖励方式，自动生成成果转化收益现金奖励或横向科研经费奖励申请表</w:t>
      </w:r>
      <w:r>
        <w:rPr>
          <w:rFonts w:hint="eastAsia"/>
          <w:color w:val="auto"/>
          <w:u w:val="none"/>
          <w:lang w:eastAsia="zh"/>
          <w:woUserID w:val="1"/>
        </w:rPr>
        <w:t>，科技奖励规则可自定义。</w:t>
      </w:r>
    </w:p>
    <w:p w14:paraId="4A0BF6E4">
      <w:pPr>
        <w:pStyle w:val="5"/>
        <w:ind w:firstLine="640"/>
        <w:rPr>
          <w:color w:val="auto"/>
          <w:u w:val="none"/>
        </w:rPr>
      </w:pPr>
      <w:r>
        <w:rPr>
          <w:color w:val="auto"/>
          <w:u w:val="none"/>
        </w:rPr>
        <w:t>成果转化评价：根据学校考核奖励办法，定制考核奖励模型，实现考核奖励分值的自动核算</w:t>
      </w:r>
      <w:r>
        <w:rPr>
          <w:rFonts w:hint="eastAsia"/>
          <w:color w:val="auto"/>
          <w:u w:val="none"/>
          <w:lang w:eastAsia="zh-CN"/>
        </w:rPr>
        <w:t>，课堂应用和部队应用成果展示</w:t>
      </w:r>
      <w:r>
        <w:rPr>
          <w:color w:val="auto"/>
          <w:u w:val="none"/>
        </w:rPr>
        <w:t>。</w:t>
      </w:r>
    </w:p>
    <w:p w14:paraId="3A093B4D">
      <w:pPr>
        <w:pStyle w:val="33"/>
        <w:numPr>
          <w:ilvl w:val="0"/>
          <w:numId w:val="0"/>
        </w:numPr>
        <w:spacing w:before="0" w:after="0"/>
        <w:ind w:left="0" w:leftChars="0"/>
        <w:outlineLvl w:val="2"/>
        <w:rPr>
          <w:rFonts w:hint="default"/>
          <w:color w:val="auto"/>
          <w:u w:val="none"/>
        </w:rPr>
      </w:pPr>
      <w:r>
        <w:rPr>
          <w:rFonts w:hint="eastAsia"/>
          <w:color w:val="auto"/>
          <w:u w:val="none"/>
          <w:lang w:eastAsia="zh"/>
          <w:woUserID w:val="1"/>
        </w:rPr>
        <w:t>10</w:t>
      </w:r>
      <w:r>
        <w:rPr>
          <w:color w:val="auto"/>
          <w:u w:val="none"/>
        </w:rPr>
        <w:t>.▲科研综合绩效评价（提供原型演示）</w:t>
      </w:r>
    </w:p>
    <w:p w14:paraId="020DAB33">
      <w:pPr>
        <w:pStyle w:val="5"/>
        <w:ind w:firstLine="640"/>
        <w:rPr>
          <w:rFonts w:hint="default"/>
          <w:color w:val="auto"/>
          <w:u w:val="none"/>
        </w:rPr>
      </w:pPr>
      <w:r>
        <w:rPr>
          <w:color w:val="auto"/>
          <w:u w:val="none"/>
        </w:rPr>
        <w:t>评价方案管理：综合绩效评价方案及指标体系发布和更新</w:t>
      </w:r>
    </w:p>
    <w:p w14:paraId="29148D32">
      <w:pPr>
        <w:pStyle w:val="5"/>
        <w:ind w:firstLine="640"/>
        <w:rPr>
          <w:rFonts w:hint="default"/>
          <w:color w:val="auto"/>
          <w:u w:val="none"/>
        </w:rPr>
      </w:pPr>
      <w:r>
        <w:rPr>
          <w:color w:val="auto"/>
          <w:u w:val="none"/>
        </w:rPr>
        <w:t>评价过程管理：提供综合绩效评价表的核对、审核提交、复核、生成综合绩效评价的全流程管理。</w:t>
      </w:r>
    </w:p>
    <w:p w14:paraId="4B0113AC">
      <w:pPr>
        <w:pStyle w:val="5"/>
        <w:ind w:firstLine="640"/>
        <w:rPr>
          <w:rFonts w:hint="default"/>
          <w:color w:val="auto"/>
          <w:u w:val="none"/>
        </w:rPr>
      </w:pPr>
      <w:r>
        <w:rPr>
          <w:color w:val="auto"/>
          <w:u w:val="none"/>
        </w:rPr>
        <w:t>结论管理：综合绩效评价结论公示、记录、存档</w:t>
      </w:r>
    </w:p>
    <w:p w14:paraId="766E54EB">
      <w:pPr>
        <w:pStyle w:val="5"/>
        <w:ind w:firstLine="640"/>
        <w:rPr>
          <w:rFonts w:hint="default"/>
          <w:color w:val="auto"/>
          <w:u w:val="none"/>
        </w:rPr>
      </w:pPr>
      <w:r>
        <w:rPr>
          <w:color w:val="auto"/>
          <w:u w:val="none"/>
        </w:rPr>
        <w:t>科研考核积分：</w:t>
      </w:r>
    </w:p>
    <w:p w14:paraId="3E9AFA61">
      <w:pPr>
        <w:pStyle w:val="5"/>
        <w:ind w:firstLine="640"/>
        <w:rPr>
          <w:rFonts w:hint="default"/>
          <w:color w:val="auto"/>
          <w:u w:val="none"/>
        </w:rPr>
      </w:pPr>
      <w:r>
        <w:rPr>
          <w:color w:val="auto"/>
          <w:u w:val="none"/>
        </w:rPr>
        <w:t>用于整个考核过程的监控，主要分考核批次设定、考核分值计算、考核分值确认。</w:t>
      </w:r>
    </w:p>
    <w:p w14:paraId="4BEF20B9">
      <w:pPr>
        <w:pStyle w:val="5"/>
        <w:ind w:firstLine="640"/>
        <w:rPr>
          <w:rFonts w:hint="default"/>
          <w:color w:val="auto"/>
          <w:u w:val="none"/>
        </w:rPr>
      </w:pPr>
      <w:r>
        <w:rPr>
          <w:color w:val="auto"/>
          <w:u w:val="none"/>
        </w:rPr>
        <w:t>设置不同科研项目类型对应不同的考核方案，管理员可以设置成员参与度不同，对应的考核积分占比不同。</w:t>
      </w:r>
    </w:p>
    <w:p w14:paraId="3EA7B7F1">
      <w:pPr>
        <w:pStyle w:val="5"/>
        <w:ind w:firstLine="640"/>
        <w:rPr>
          <w:rFonts w:hint="default"/>
          <w:color w:val="auto"/>
          <w:u w:val="none"/>
        </w:rPr>
      </w:pPr>
      <w:r>
        <w:rPr>
          <w:color w:val="auto"/>
          <w:u w:val="none"/>
        </w:rPr>
        <w:t>设置考核批次，可以选取需要考核的项目时间范围，以及对应的考核方案，通过计算所有科研人员获取的积分信息。</w:t>
      </w:r>
    </w:p>
    <w:p w14:paraId="3EF4F1D3">
      <w:pPr>
        <w:pStyle w:val="5"/>
        <w:ind w:firstLine="640"/>
        <w:rPr>
          <w:rFonts w:hint="default"/>
          <w:color w:val="auto"/>
          <w:u w:val="none"/>
        </w:rPr>
      </w:pPr>
      <w:r>
        <w:rPr>
          <w:color w:val="auto"/>
          <w:u w:val="none"/>
        </w:rPr>
        <w:t>考核批次设定：选择对应的方案、考核时间范围等信息之后开启考核。</w:t>
      </w:r>
    </w:p>
    <w:p w14:paraId="6B435B0E">
      <w:pPr>
        <w:pStyle w:val="5"/>
        <w:ind w:firstLine="640"/>
        <w:rPr>
          <w:rFonts w:hint="default"/>
          <w:color w:val="auto"/>
          <w:u w:val="none"/>
        </w:rPr>
      </w:pPr>
      <w:r>
        <w:rPr>
          <w:color w:val="auto"/>
          <w:u w:val="none"/>
        </w:rPr>
        <w:t>考核分值计算：根据对应的计算规则、考核范围、考核对象来计算各部门和各人员的考核分值。</w:t>
      </w:r>
    </w:p>
    <w:p w14:paraId="3DA0CB75">
      <w:pPr>
        <w:pStyle w:val="5"/>
        <w:ind w:firstLine="640"/>
        <w:rPr>
          <w:rFonts w:hint="default"/>
          <w:color w:val="auto"/>
          <w:u w:val="none"/>
        </w:rPr>
      </w:pPr>
      <w:r>
        <w:rPr>
          <w:color w:val="auto"/>
          <w:u w:val="none"/>
        </w:rPr>
        <w:t>考核分值确认：在考核时间范围内对各自的考核分值进行确认。</w:t>
      </w:r>
    </w:p>
    <w:p w14:paraId="7BC91E30">
      <w:pPr>
        <w:pStyle w:val="33"/>
        <w:numPr>
          <w:ilvl w:val="0"/>
          <w:numId w:val="0"/>
        </w:numPr>
        <w:spacing w:before="0" w:after="0"/>
        <w:ind w:left="320" w:leftChars="100"/>
        <w:outlineLvl w:val="2"/>
        <w:rPr>
          <w:rFonts w:hint="default"/>
          <w:color w:val="auto"/>
          <w:u w:val="none"/>
        </w:rPr>
      </w:pPr>
      <w:r>
        <w:rPr>
          <w:rFonts w:hint="eastAsia"/>
          <w:color w:val="auto"/>
          <w:u w:val="none"/>
          <w:lang w:eastAsia="zh"/>
          <w:woUserID w:val="1"/>
        </w:rPr>
        <w:t>11</w:t>
      </w:r>
      <w:r>
        <w:rPr>
          <w:color w:val="auto"/>
          <w:u w:val="none"/>
        </w:rPr>
        <w:t>.伦理和人类遗传资源管理</w:t>
      </w:r>
    </w:p>
    <w:p w14:paraId="7CEED32C">
      <w:pPr>
        <w:pStyle w:val="5"/>
        <w:ind w:firstLine="640"/>
        <w:rPr>
          <w:rFonts w:hint="default"/>
          <w:color w:val="auto"/>
          <w:u w:val="none"/>
        </w:rPr>
      </w:pPr>
      <w:r>
        <w:rPr>
          <w:color w:val="auto"/>
          <w:u w:val="none"/>
        </w:rPr>
        <w:t>伦理管理：</w:t>
      </w:r>
      <w:r>
        <w:rPr>
          <w:color w:val="auto"/>
          <w:u w:val="none"/>
        </w:rPr>
        <w:t>实现伦理审查批复的申请</w:t>
      </w:r>
      <w:r>
        <w:rPr>
          <w:rFonts w:hint="eastAsia"/>
          <w:color w:val="auto"/>
          <w:u w:val="none"/>
          <w:lang w:eastAsia="zh-CN"/>
        </w:rPr>
        <w:t>（</w:t>
      </w:r>
      <w:r>
        <w:rPr>
          <w:color w:val="auto"/>
          <w:u w:val="none"/>
        </w:rPr>
        <w:t>申请只针对校直专家教授开放</w:t>
      </w:r>
      <w:r>
        <w:rPr>
          <w:rFonts w:hint="eastAsia"/>
          <w:color w:val="auto"/>
          <w:u w:val="none"/>
          <w:lang w:eastAsia="zh-CN"/>
        </w:rPr>
        <w:t>）</w:t>
      </w:r>
      <w:r>
        <w:rPr>
          <w:color w:val="auto"/>
          <w:u w:val="none"/>
        </w:rPr>
        <w:t>审批，材料的导出、导入，可根据研究方向和领域自动匹配审核专</w:t>
      </w:r>
      <w:r>
        <w:rPr>
          <w:color w:val="auto"/>
          <w:u w:val="none"/>
        </w:rPr>
        <w:t>家，也支持自定义审核专家及专家组。</w:t>
      </w:r>
    </w:p>
    <w:p w14:paraId="1E9DFB07">
      <w:pPr>
        <w:pStyle w:val="5"/>
        <w:ind w:firstLine="640"/>
        <w:rPr>
          <w:rFonts w:hint="default"/>
          <w:color w:val="auto"/>
          <w:u w:val="none"/>
        </w:rPr>
      </w:pPr>
      <w:r>
        <w:rPr>
          <w:color w:val="auto"/>
          <w:u w:val="none"/>
        </w:rPr>
        <w:t>人类遗传资源管理：实现人类遗传资源采集、使用、保藏、提供全链路备案、审批，相关材料导出、导入，可根据研究方向和领域自动匹配审核专家，也支持自定义审核专家及专家组。</w:t>
      </w:r>
    </w:p>
    <w:p w14:paraId="179CE67C">
      <w:pPr>
        <w:pStyle w:val="33"/>
        <w:numPr>
          <w:ilvl w:val="0"/>
          <w:numId w:val="0"/>
        </w:numPr>
        <w:spacing w:before="0" w:after="0"/>
        <w:ind w:left="320" w:leftChars="100"/>
        <w:outlineLvl w:val="2"/>
        <w:rPr>
          <w:rFonts w:hint="default"/>
          <w:color w:val="auto"/>
          <w:u w:val="none"/>
        </w:rPr>
      </w:pPr>
      <w:r>
        <w:rPr>
          <w:color w:val="auto"/>
          <w:u w:val="none"/>
        </w:rPr>
        <w:t>1</w:t>
      </w:r>
      <w:r>
        <w:rPr>
          <w:rFonts w:hint="eastAsia"/>
          <w:color w:val="auto"/>
          <w:u w:val="none"/>
          <w:lang w:eastAsia="zh"/>
          <w:woUserID w:val="1"/>
        </w:rPr>
        <w:t>2</w:t>
      </w:r>
      <w:r>
        <w:rPr>
          <w:color w:val="auto"/>
          <w:u w:val="none"/>
        </w:rPr>
        <w:t>.学术任职科研服务</w:t>
      </w:r>
    </w:p>
    <w:p w14:paraId="6D9BFF7C">
      <w:pPr>
        <w:pStyle w:val="5"/>
        <w:ind w:firstLine="640"/>
        <w:rPr>
          <w:rFonts w:hint="default"/>
          <w:color w:val="auto"/>
          <w:u w:val="none"/>
        </w:rPr>
      </w:pPr>
      <w:r>
        <w:rPr>
          <w:color w:val="auto"/>
          <w:u w:val="none"/>
        </w:rPr>
        <w:t>共享文档：供各类科研管理文档共享功能，可设置文档类型，由科研管理人员进行文档发布、管理和维护，向科研人员共享。</w:t>
      </w:r>
    </w:p>
    <w:p w14:paraId="75B146EA">
      <w:pPr>
        <w:pStyle w:val="5"/>
        <w:ind w:firstLine="640"/>
        <w:rPr>
          <w:rFonts w:hint="default"/>
          <w:color w:val="auto"/>
          <w:u w:val="none"/>
        </w:rPr>
      </w:pPr>
      <w:r>
        <w:rPr>
          <w:color w:val="auto"/>
          <w:u w:val="none"/>
        </w:rPr>
        <w:t>业务追踪：业务跟踪可对办理中业务的跟踪展示，可对办理中的业务进行查看、催办，办理完成对办理人进行信息提醒。提供服务反馈通道，每个办理人可对业务的办理效果进行信息反馈评价，督促服务人员及服务平台持续优化服务，优化效率。</w:t>
      </w:r>
    </w:p>
    <w:p w14:paraId="22C872A4">
      <w:pPr>
        <w:pStyle w:val="5"/>
        <w:ind w:firstLine="640"/>
        <w:rPr>
          <w:rFonts w:hint="default"/>
          <w:color w:val="auto"/>
          <w:u w:val="none"/>
        </w:rPr>
      </w:pPr>
      <w:r>
        <w:rPr>
          <w:color w:val="auto"/>
          <w:u w:val="none"/>
        </w:rPr>
        <w:t>投稿管理：实现投稿审批的线上流程管理，自动生成审批单。</w:t>
      </w:r>
    </w:p>
    <w:p w14:paraId="21E71C2B">
      <w:pPr>
        <w:pStyle w:val="33"/>
        <w:numPr>
          <w:ilvl w:val="0"/>
          <w:numId w:val="0"/>
        </w:numPr>
        <w:spacing w:before="0" w:after="0"/>
        <w:ind w:left="320" w:leftChars="100"/>
        <w:outlineLvl w:val="2"/>
        <w:rPr>
          <w:rFonts w:hint="default"/>
          <w:color w:val="auto"/>
          <w:u w:val="none"/>
        </w:rPr>
      </w:pPr>
      <w:r>
        <w:rPr>
          <w:color w:val="auto"/>
          <w:u w:val="none"/>
        </w:rPr>
        <w:t>1</w:t>
      </w:r>
      <w:r>
        <w:rPr>
          <w:rFonts w:hint="eastAsia"/>
          <w:color w:val="auto"/>
          <w:u w:val="none"/>
          <w:lang w:eastAsia="zh"/>
          <w:woUserID w:val="1"/>
        </w:rPr>
        <w:t>3</w:t>
      </w:r>
      <w:r>
        <w:rPr>
          <w:color w:val="auto"/>
          <w:u w:val="none"/>
        </w:rPr>
        <w:t>.科研办公</w:t>
      </w:r>
    </w:p>
    <w:p w14:paraId="5C5D3763">
      <w:pPr>
        <w:pStyle w:val="5"/>
        <w:ind w:firstLine="640"/>
        <w:rPr>
          <w:rFonts w:hint="default"/>
          <w:color w:val="auto"/>
          <w:u w:val="none"/>
        </w:rPr>
      </w:pPr>
      <w:r>
        <w:rPr>
          <w:color w:val="auto"/>
          <w:u w:val="none"/>
        </w:rPr>
        <w:t>通知公告：扩充对国家政策、科研资讯等信息的自动抓取并发布。</w:t>
      </w:r>
    </w:p>
    <w:p w14:paraId="7A4B313F">
      <w:pPr>
        <w:pStyle w:val="5"/>
        <w:ind w:firstLine="640"/>
        <w:rPr>
          <w:color w:val="auto"/>
          <w:u w:val="none"/>
        </w:rPr>
      </w:pPr>
      <w:r>
        <w:rPr>
          <w:color w:val="auto"/>
          <w:u w:val="none"/>
        </w:rPr>
        <w:t>信息发送：扩充通过邮件、微信等方式直接推送至个人终端。</w:t>
      </w:r>
    </w:p>
    <w:p w14:paraId="23BB5FBC">
      <w:pPr>
        <w:pStyle w:val="33"/>
        <w:numPr>
          <w:ilvl w:val="0"/>
          <w:numId w:val="0"/>
        </w:numPr>
        <w:spacing w:before="0" w:after="0"/>
        <w:ind w:left="320" w:leftChars="100"/>
        <w:outlineLvl w:val="2"/>
        <w:rPr>
          <w:rFonts w:hint="eastAsia" w:eastAsia="楷体_GB2312"/>
          <w:color w:val="auto"/>
          <w:u w:val="none"/>
          <w:lang w:eastAsia="zh"/>
          <w:woUserID w:val="1"/>
        </w:rPr>
      </w:pPr>
      <w:r>
        <w:rPr>
          <w:color w:val="auto"/>
          <w:u w:val="none"/>
          <w:woUserID w:val="1"/>
        </w:rPr>
        <w:t>1</w:t>
      </w:r>
      <w:r>
        <w:rPr>
          <w:rFonts w:hint="eastAsia"/>
          <w:color w:val="auto"/>
          <w:u w:val="none"/>
          <w:lang w:eastAsia="zh"/>
          <w:woUserID w:val="1"/>
        </w:rPr>
        <w:t>4</w:t>
      </w:r>
      <w:r>
        <w:rPr>
          <w:color w:val="auto"/>
          <w:u w:val="none"/>
          <w:woUserID w:val="1"/>
        </w:rPr>
        <w:t>.科研</w:t>
      </w:r>
      <w:r>
        <w:rPr>
          <w:rFonts w:hint="eastAsia"/>
          <w:color w:val="auto"/>
          <w:u w:val="none"/>
          <w:lang w:eastAsia="zh"/>
          <w:woUserID w:val="1"/>
        </w:rPr>
        <w:t>档案</w:t>
      </w:r>
    </w:p>
    <w:p w14:paraId="0AE1DADC">
      <w:pPr>
        <w:pStyle w:val="5"/>
        <w:ind w:firstLine="640"/>
        <w:rPr>
          <w:rFonts w:hint="eastAsia" w:eastAsia="仿宋_GB2312"/>
          <w:color w:val="auto"/>
          <w:u w:val="none"/>
          <w:lang w:eastAsia="zh"/>
          <w:woUserID w:val="1"/>
        </w:rPr>
      </w:pPr>
      <w:r>
        <w:rPr>
          <w:rFonts w:hint="eastAsia"/>
          <w:color w:val="auto"/>
          <w:u w:val="none"/>
          <w:lang w:eastAsia="zh"/>
          <w:woUserID w:val="1"/>
        </w:rPr>
        <w:t>科研项目结题后，</w:t>
      </w:r>
      <w:r>
        <w:rPr>
          <w:rFonts w:hint="eastAsia"/>
          <w:color w:val="auto"/>
          <w:u w:val="none"/>
          <w:lang w:eastAsia="zh"/>
          <w:woUserID w:val="2"/>
        </w:rPr>
        <w:t>自动</w:t>
      </w:r>
      <w:r>
        <w:rPr>
          <w:rFonts w:hint="eastAsia"/>
          <w:color w:val="auto"/>
          <w:u w:val="none"/>
          <w:lang w:eastAsia="zh"/>
          <w:woUserID w:val="1"/>
        </w:rPr>
        <w:t>对项目人员、实验过程证明、经费报销、器材用具、成果专利及获奖等全要素资料进行归档，便于查阅。</w:t>
      </w:r>
    </w:p>
    <w:p w14:paraId="69150135">
      <w:pPr>
        <w:pStyle w:val="3"/>
        <w:numPr>
          <w:ilvl w:val="255"/>
          <w:numId w:val="0"/>
        </w:numPr>
        <w:ind w:left="640" w:leftChars="200"/>
        <w:rPr>
          <w:color w:val="auto"/>
          <w:u w:val="none"/>
        </w:rPr>
      </w:pPr>
      <w:r>
        <w:rPr>
          <w:rFonts w:hint="eastAsia"/>
          <w:color w:val="auto"/>
          <w:u w:val="none"/>
        </w:rPr>
        <w:t>（五）功能指标</w:t>
      </w:r>
    </w:p>
    <w:p w14:paraId="70FE55F9">
      <w:pPr>
        <w:pStyle w:val="5"/>
        <w:ind w:firstLine="640"/>
        <w:rPr>
          <w:rFonts w:hint="default"/>
          <w:color w:val="auto"/>
          <w:u w:val="none"/>
        </w:rPr>
      </w:pPr>
      <w:r>
        <w:rPr>
          <w:color w:val="auto"/>
          <w:u w:val="none"/>
        </w:rPr>
        <w:t>数据存储和检索速度：系统应具备高效的数据存储和检索能力，以确保数据的快速访问和处理。</w:t>
      </w:r>
    </w:p>
    <w:p w14:paraId="2AF0A12A">
      <w:pPr>
        <w:pStyle w:val="5"/>
        <w:ind w:firstLine="640"/>
        <w:rPr>
          <w:rFonts w:hint="default"/>
          <w:color w:val="auto"/>
          <w:u w:val="none"/>
        </w:rPr>
      </w:pPr>
      <w:r>
        <w:rPr>
          <w:color w:val="auto"/>
          <w:u w:val="none"/>
        </w:rPr>
        <w:t>扩展性：系统应具备良好的可扩展性，能够在不降低性能的情况下扩展用户容量。</w:t>
      </w:r>
    </w:p>
    <w:p w14:paraId="5A06228B">
      <w:pPr>
        <w:pStyle w:val="5"/>
        <w:ind w:firstLine="640"/>
        <w:rPr>
          <w:rFonts w:hint="default"/>
          <w:color w:val="auto"/>
          <w:u w:val="none"/>
        </w:rPr>
      </w:pPr>
      <w:r>
        <w:rPr>
          <w:color w:val="auto"/>
          <w:u w:val="none"/>
        </w:rPr>
        <w:t>用户体验：系统界面应友好且易于操作，以提升用户的使用体验。</w:t>
      </w:r>
    </w:p>
    <w:p w14:paraId="38168003">
      <w:pPr>
        <w:pStyle w:val="5"/>
        <w:ind w:firstLine="640"/>
        <w:rPr>
          <w:rFonts w:hint="default"/>
          <w:color w:val="auto"/>
          <w:u w:val="none"/>
        </w:rPr>
      </w:pPr>
      <w:r>
        <w:rPr>
          <w:color w:val="auto"/>
          <w:u w:val="none"/>
        </w:rPr>
        <w:t>数据分析与报表功能：系统应提供对项目进度、质量和成本等关键性能指标的监控与分析功能，以便及时发现并解决问题，确保项目按时、按质完成。</w:t>
      </w:r>
    </w:p>
    <w:p w14:paraId="56FC2CF4">
      <w:pPr>
        <w:pStyle w:val="5"/>
        <w:ind w:firstLine="640"/>
        <w:rPr>
          <w:rFonts w:hint="default"/>
          <w:color w:val="auto"/>
          <w:u w:val="none"/>
        </w:rPr>
      </w:pPr>
      <w:r>
        <w:rPr>
          <w:color w:val="auto"/>
          <w:u w:val="none"/>
        </w:rPr>
        <w:t>网络通信模块设计：系统的网络通信模块应设计合理，以保证数据传输的高效性和稳定性。</w:t>
      </w:r>
    </w:p>
    <w:p w14:paraId="5E664459">
      <w:pPr>
        <w:pStyle w:val="5"/>
        <w:ind w:firstLine="640"/>
        <w:rPr>
          <w:rFonts w:hint="default"/>
          <w:color w:val="auto"/>
          <w:u w:val="none"/>
        </w:rPr>
      </w:pPr>
      <w:r>
        <w:rPr>
          <w:color w:val="auto"/>
          <w:u w:val="none"/>
        </w:rPr>
        <w:t>数据对接能力：系统应能够与其他数据接口（如微信企业号）进行有效对接，以实现数据的无缝集成</w:t>
      </w:r>
    </w:p>
    <w:p w14:paraId="53F5A895">
      <w:pPr>
        <w:pStyle w:val="3"/>
        <w:numPr>
          <w:ilvl w:val="255"/>
          <w:numId w:val="0"/>
        </w:numPr>
        <w:ind w:left="640" w:leftChars="200"/>
        <w:rPr>
          <w:color w:val="auto"/>
          <w:u w:val="none"/>
        </w:rPr>
      </w:pPr>
      <w:r>
        <w:rPr>
          <w:rFonts w:hint="eastAsia"/>
          <w:color w:val="auto"/>
          <w:u w:val="none"/>
        </w:rPr>
        <w:t>（六）性能指标</w:t>
      </w:r>
    </w:p>
    <w:p w14:paraId="4595F887">
      <w:pPr>
        <w:pStyle w:val="5"/>
        <w:ind w:firstLine="640"/>
        <w:rPr>
          <w:rFonts w:hint="default"/>
          <w:color w:val="auto"/>
          <w:u w:val="none"/>
        </w:rPr>
      </w:pPr>
      <w:r>
        <w:rPr>
          <w:color w:val="auto"/>
          <w:u w:val="none"/>
        </w:rPr>
        <w:t>系统响应速度：系统应具备快速响应的能力，以保证用户在操作时不会感到延迟。例如，登录系统的平均时间不应超过3秒，在峰值时间段不应超过5秒。</w:t>
      </w:r>
    </w:p>
    <w:p w14:paraId="704C1F38">
      <w:pPr>
        <w:pStyle w:val="5"/>
        <w:ind w:firstLine="640"/>
        <w:rPr>
          <w:rFonts w:hint="default"/>
          <w:color w:val="auto"/>
          <w:u w:val="none"/>
        </w:rPr>
      </w:pPr>
      <w:r>
        <w:rPr>
          <w:color w:val="auto"/>
          <w:u w:val="none"/>
        </w:rPr>
        <w:t>并发处理能力：系统需要能够同时处理大量用户请求，以支持高并发环境下的稳定运行。例如，系统应能够支持同时在线用户数达到1000以上。</w:t>
      </w:r>
    </w:p>
    <w:p w14:paraId="3DD996E5">
      <w:pPr>
        <w:pStyle w:val="3"/>
        <w:numPr>
          <w:ilvl w:val="255"/>
          <w:numId w:val="0"/>
        </w:numPr>
        <w:ind w:left="640" w:leftChars="200"/>
        <w:rPr>
          <w:color w:val="auto"/>
          <w:u w:val="none"/>
        </w:rPr>
      </w:pPr>
      <w:r>
        <w:rPr>
          <w:rFonts w:hint="eastAsia"/>
          <w:color w:val="auto"/>
          <w:u w:val="none"/>
        </w:rPr>
        <w:t>（七）</w:t>
      </w:r>
      <w:r>
        <w:rPr>
          <w:color w:val="auto"/>
          <w:u w:val="none"/>
        </w:rPr>
        <w:t>与其他系统的关系</w:t>
      </w:r>
    </w:p>
    <w:p w14:paraId="2B5D1C07">
      <w:pPr>
        <w:pStyle w:val="5"/>
        <w:spacing w:line="520" w:lineRule="exact"/>
        <w:ind w:firstLine="636" w:firstLineChars="199"/>
        <w:rPr>
          <w:rFonts w:hint="default"/>
          <w:color w:val="auto"/>
          <w:u w:val="none"/>
        </w:rPr>
      </w:pPr>
      <w:r>
        <w:rPr>
          <w:color w:val="auto"/>
          <w:u w:val="none"/>
        </w:rPr>
        <w:t>1.与一期科研管理系统对接，实现数据共享和交换。</w:t>
      </w:r>
    </w:p>
    <w:p w14:paraId="200B3323">
      <w:pPr>
        <w:pStyle w:val="5"/>
        <w:spacing w:line="520" w:lineRule="exact"/>
        <w:ind w:firstLine="636" w:firstLineChars="199"/>
        <w:rPr>
          <w:rFonts w:hint="default"/>
          <w:color w:val="auto"/>
          <w:u w:val="none"/>
        </w:rPr>
      </w:pPr>
      <w:r>
        <w:rPr>
          <w:color w:val="auto"/>
          <w:u w:val="none"/>
        </w:rPr>
        <w:t>2.与统一身份认证系统对接。需与大学统一身份认证平台实现对接，实现用户认证的统一集中化管理，所有纳入到门户平台的应用系统都需要从平台获取统一的身份和组织机构信息，并进行统一认证，提高系统使用便捷度。</w:t>
      </w:r>
    </w:p>
    <w:p w14:paraId="76826880">
      <w:pPr>
        <w:pStyle w:val="5"/>
        <w:spacing w:line="520" w:lineRule="exact"/>
        <w:ind w:firstLine="636" w:firstLineChars="199"/>
        <w:rPr>
          <w:rFonts w:hint="default"/>
          <w:color w:val="auto"/>
          <w:u w:val="none"/>
        </w:rPr>
      </w:pPr>
      <w:r>
        <w:rPr>
          <w:color w:val="auto"/>
          <w:u w:val="none"/>
        </w:rPr>
        <w:t>3.与大学数据中台对接。为支撑本系统建设以及完善归总大学数据资源，需具备数据集成及数据开放功能。支撑系统建设的公共基础类数据（包括但不限于人员信息数据、组织架构数据、一卡通数据）</w:t>
      </w:r>
      <w:bookmarkStart w:id="52" w:name="_GoBack"/>
      <w:bookmarkEnd w:id="52"/>
      <w:r>
        <w:rPr>
          <w:color w:val="auto"/>
          <w:u w:val="none"/>
        </w:rPr>
        <w:t>依照大学要求，与数据中台提出数据申请使用并完成数据集成；系统所产生的数据（包括但不限于仪器设备信息数据）依照大学要求，提供数据字典，以开放数据接口或视图等方式归总至数据中台。</w:t>
      </w:r>
    </w:p>
    <w:p w14:paraId="60423F51">
      <w:pPr>
        <w:pStyle w:val="3"/>
        <w:numPr>
          <w:ilvl w:val="255"/>
          <w:numId w:val="0"/>
        </w:numPr>
        <w:spacing w:line="520" w:lineRule="exact"/>
        <w:ind w:left="640" w:leftChars="200"/>
        <w:rPr>
          <w:color w:val="auto"/>
          <w:u w:val="none"/>
        </w:rPr>
      </w:pPr>
      <w:r>
        <w:rPr>
          <w:rFonts w:hint="eastAsia"/>
          <w:color w:val="auto"/>
          <w:u w:val="none"/>
        </w:rPr>
        <w:t>（七）</w:t>
      </w:r>
      <w:r>
        <w:rPr>
          <w:color w:val="auto"/>
          <w:u w:val="none"/>
        </w:rPr>
        <w:t>系统部署要求</w:t>
      </w:r>
    </w:p>
    <w:p w14:paraId="7D7CB86A">
      <w:pPr>
        <w:pStyle w:val="5"/>
        <w:ind w:firstLine="640"/>
        <w:rPr>
          <w:rFonts w:hint="default"/>
          <w:color w:val="auto"/>
          <w:u w:val="none"/>
        </w:rPr>
      </w:pPr>
      <w:r>
        <w:rPr>
          <w:color w:val="auto"/>
          <w:u w:val="none"/>
        </w:rPr>
        <w:t>软件整体采用B/S架构，服务端运行环境支持在自主可控硬件和国产化操作系统、数据库上运行。依托内网、外网进行两网部署。</w:t>
      </w:r>
    </w:p>
    <w:p w14:paraId="42907CD2">
      <w:pPr>
        <w:pStyle w:val="3"/>
        <w:numPr>
          <w:ilvl w:val="255"/>
          <w:numId w:val="0"/>
        </w:numPr>
        <w:spacing w:line="520" w:lineRule="exact"/>
        <w:ind w:left="640" w:leftChars="200"/>
        <w:rPr>
          <w:color w:val="auto"/>
          <w:u w:val="none"/>
        </w:rPr>
      </w:pPr>
      <w:r>
        <w:rPr>
          <w:rFonts w:hint="eastAsia"/>
          <w:color w:val="auto"/>
          <w:u w:val="none"/>
        </w:rPr>
        <w:t>（八）国产化要求</w:t>
      </w:r>
    </w:p>
    <w:p w14:paraId="35AE25B4">
      <w:pPr>
        <w:pStyle w:val="5"/>
        <w:spacing w:line="520" w:lineRule="exact"/>
        <w:ind w:firstLine="636" w:firstLineChars="199"/>
        <w:rPr>
          <w:rFonts w:hint="default"/>
          <w:color w:val="auto"/>
          <w:u w:val="none"/>
        </w:rPr>
      </w:pPr>
      <w:r>
        <w:rPr>
          <w:color w:val="auto"/>
          <w:u w:val="none"/>
        </w:rPr>
        <w:t>软件供应商需根据我单位要求完成国产化运行环境的适配，国产化计算存储由我单位提供。</w:t>
      </w:r>
    </w:p>
    <w:p w14:paraId="68B558FD">
      <w:pPr>
        <w:pStyle w:val="5"/>
        <w:spacing w:line="520" w:lineRule="exact"/>
        <w:ind w:firstLine="636" w:firstLineChars="199"/>
        <w:rPr>
          <w:rFonts w:hint="default"/>
          <w:color w:val="auto"/>
          <w:u w:val="none"/>
        </w:rPr>
      </w:pPr>
      <w:r>
        <w:rPr>
          <w:color w:val="auto"/>
          <w:u w:val="none"/>
        </w:rPr>
        <w:t>▲为支持国产化要求，本次建设的科研平台需支持国产操作系统和国产数据库，并提供适配报告，加盖公章。</w:t>
      </w:r>
    </w:p>
    <w:p w14:paraId="7689E6DE">
      <w:pPr>
        <w:pStyle w:val="5"/>
        <w:spacing w:line="520" w:lineRule="exact"/>
        <w:ind w:firstLine="636" w:firstLineChars="199"/>
        <w:rPr>
          <w:rFonts w:hint="default"/>
          <w:color w:val="auto"/>
          <w:u w:val="none"/>
        </w:rPr>
      </w:pPr>
      <w:r>
        <w:rPr>
          <w:color w:val="auto"/>
          <w:u w:val="none"/>
        </w:rPr>
        <w:t>▲服务器端数据库必须采用国产数据库。提供承诺函。</w:t>
      </w:r>
    </w:p>
    <w:p w14:paraId="6BC28F36">
      <w:pPr>
        <w:pStyle w:val="3"/>
        <w:numPr>
          <w:ilvl w:val="255"/>
          <w:numId w:val="0"/>
        </w:numPr>
        <w:ind w:left="640" w:leftChars="200"/>
        <w:rPr>
          <w:color w:val="auto"/>
          <w:u w:val="none"/>
        </w:rPr>
      </w:pPr>
      <w:r>
        <w:rPr>
          <w:rFonts w:hint="eastAsia"/>
          <w:color w:val="auto"/>
          <w:u w:val="none"/>
        </w:rPr>
        <w:t>（八）联调联试要求</w:t>
      </w:r>
    </w:p>
    <w:p w14:paraId="09A11798">
      <w:pPr>
        <w:pStyle w:val="5"/>
        <w:ind w:firstLine="640"/>
        <w:rPr>
          <w:rFonts w:hint="default"/>
          <w:color w:val="auto"/>
          <w:u w:val="none"/>
        </w:rPr>
      </w:pPr>
      <w:r>
        <w:rPr>
          <w:color w:val="auto"/>
          <w:u w:val="none"/>
        </w:rPr>
        <w:t>系统研发和测试结束后，需由系统开发单位在指定地点组织搭建环境，实现系统试验环境验证和真实环境部署验证，给出联调联试报告。</w:t>
      </w:r>
    </w:p>
    <w:p w14:paraId="1887E687">
      <w:pPr>
        <w:pStyle w:val="5"/>
        <w:numPr>
          <w:ilvl w:val="0"/>
          <w:numId w:val="4"/>
        </w:numPr>
        <w:ind w:firstLine="640"/>
        <w:rPr>
          <w:rFonts w:hint="default"/>
          <w:color w:val="auto"/>
          <w:u w:val="none"/>
        </w:rPr>
      </w:pPr>
      <w:r>
        <w:rPr>
          <w:color w:val="auto"/>
          <w:u w:val="none"/>
        </w:rPr>
        <w:t>高可靠性</w:t>
      </w:r>
    </w:p>
    <w:p w14:paraId="0B8605EF">
      <w:pPr>
        <w:pStyle w:val="5"/>
        <w:numPr>
          <w:ilvl w:val="255"/>
          <w:numId w:val="0"/>
        </w:numPr>
        <w:ind w:firstLine="640" w:firstLineChars="200"/>
        <w:rPr>
          <w:rFonts w:hint="default"/>
          <w:color w:val="auto"/>
          <w:u w:val="none"/>
        </w:rPr>
      </w:pPr>
      <w:r>
        <w:rPr>
          <w:rFonts w:hint="default"/>
          <w:color w:val="auto"/>
          <w:u w:val="none"/>
        </w:rPr>
        <w:t>科研管理系统整个系统采用具有高可靠性的总体设计，选用的设备自身具有较高的安全可靠性，关键设备或关键部件应采取备份冗余设计，选用安全机制完善、安全级别较高的系统软件，使用具有可靠功能的专用产品。软件本身支持集群、冗余备份，数据库支持读写分离，具备较高的可靠性</w:t>
      </w:r>
    </w:p>
    <w:p w14:paraId="22C68D4B">
      <w:pPr>
        <w:pStyle w:val="5"/>
        <w:numPr>
          <w:ilvl w:val="255"/>
          <w:numId w:val="0"/>
        </w:numPr>
        <w:ind w:firstLine="640" w:firstLineChars="200"/>
        <w:rPr>
          <w:rFonts w:hint="default"/>
          <w:color w:val="auto"/>
          <w:u w:val="none"/>
        </w:rPr>
      </w:pPr>
      <w:r>
        <w:rPr>
          <w:rFonts w:hint="default"/>
          <w:color w:val="auto"/>
          <w:u w:val="none"/>
        </w:rPr>
        <w:t>提供数据自动异地备份的机制（每天备份），关键数据可备份并可完整恢复。</w:t>
      </w:r>
    </w:p>
    <w:p w14:paraId="46F1CC14">
      <w:pPr>
        <w:pStyle w:val="5"/>
        <w:numPr>
          <w:ilvl w:val="0"/>
          <w:numId w:val="4"/>
        </w:numPr>
        <w:ind w:firstLine="640"/>
        <w:rPr>
          <w:rFonts w:hint="default"/>
          <w:color w:val="auto"/>
          <w:u w:val="none"/>
        </w:rPr>
      </w:pPr>
      <w:r>
        <w:rPr>
          <w:color w:val="auto"/>
          <w:u w:val="none"/>
        </w:rPr>
        <w:t>高兼容性</w:t>
      </w:r>
    </w:p>
    <w:p w14:paraId="22FA46F9">
      <w:pPr>
        <w:pStyle w:val="5"/>
        <w:numPr>
          <w:ilvl w:val="255"/>
          <w:numId w:val="0"/>
        </w:numPr>
        <w:ind w:firstLine="640" w:firstLineChars="200"/>
        <w:rPr>
          <w:rFonts w:hint="default"/>
          <w:color w:val="auto"/>
          <w:u w:val="none"/>
        </w:rPr>
      </w:pPr>
      <w:r>
        <w:rPr>
          <w:rFonts w:hint="default"/>
          <w:color w:val="auto"/>
          <w:u w:val="none"/>
        </w:rPr>
        <w:t>科研管理系统提供可靠的接口，和第三方应用软件实现互通互兼</w:t>
      </w:r>
      <w:r>
        <w:rPr>
          <w:color w:val="auto"/>
          <w:u w:val="none"/>
        </w:rPr>
        <w:t>。</w:t>
      </w:r>
    </w:p>
    <w:p w14:paraId="58EF0CD9">
      <w:pPr>
        <w:pStyle w:val="2"/>
        <w:rPr>
          <w:color w:val="auto"/>
          <w:u w:val="none"/>
        </w:rPr>
      </w:pPr>
      <w:bookmarkStart w:id="2" w:name="_Toc148019464"/>
      <w:bookmarkStart w:id="3" w:name="_Toc145962938"/>
      <w:bookmarkStart w:id="4" w:name="_Toc146188408"/>
      <w:r>
        <w:rPr>
          <w:rFonts w:hint="eastAsia"/>
          <w:color w:val="auto"/>
          <w:u w:val="none"/>
        </w:rPr>
        <w:t>三、</w:t>
      </w:r>
      <w:r>
        <w:rPr>
          <w:color w:val="auto"/>
          <w:u w:val="none"/>
        </w:rPr>
        <w:t>系统通用要求</w:t>
      </w:r>
      <w:bookmarkEnd w:id="2"/>
      <w:bookmarkEnd w:id="3"/>
      <w:bookmarkEnd w:id="4"/>
    </w:p>
    <w:p w14:paraId="586A7905">
      <w:pPr>
        <w:pStyle w:val="3"/>
        <w:numPr>
          <w:ilvl w:val="255"/>
          <w:numId w:val="0"/>
        </w:numPr>
        <w:ind w:left="640" w:leftChars="200"/>
        <w:rPr>
          <w:color w:val="auto"/>
          <w:u w:val="none"/>
        </w:rPr>
      </w:pPr>
      <w:bookmarkStart w:id="5" w:name="_Toc148019465"/>
      <w:bookmarkStart w:id="6" w:name="_Toc146188409"/>
      <w:bookmarkStart w:id="7" w:name="_Toc145962939"/>
      <w:r>
        <w:rPr>
          <w:rFonts w:hint="eastAsia"/>
          <w:color w:val="auto"/>
          <w:u w:val="none"/>
        </w:rPr>
        <w:t>（一）可靠性要求</w:t>
      </w:r>
      <w:bookmarkEnd w:id="5"/>
      <w:bookmarkEnd w:id="6"/>
      <w:bookmarkEnd w:id="7"/>
    </w:p>
    <w:p w14:paraId="10883623">
      <w:pPr>
        <w:pStyle w:val="5"/>
        <w:ind w:firstLine="640"/>
        <w:rPr>
          <w:rFonts w:hint="default"/>
          <w:color w:val="auto"/>
          <w:u w:val="none"/>
        </w:rPr>
      </w:pPr>
      <w:r>
        <w:rPr>
          <w:color w:val="auto"/>
          <w:u w:val="none"/>
        </w:rPr>
        <w:t>系统可靠性应符合G</w:t>
      </w:r>
      <w:r>
        <w:rPr>
          <w:rFonts w:hint="eastAsia"/>
          <w:color w:val="auto"/>
          <w:u w:val="none"/>
          <w:lang w:eastAsia="zh-CN"/>
        </w:rPr>
        <w:t>军</w:t>
      </w:r>
      <w:r>
        <w:rPr>
          <w:color w:val="auto"/>
          <w:u w:val="none"/>
        </w:rPr>
        <w:t>B/Z102《软件可靠性与安全性设计准则》有关要求。</w:t>
      </w:r>
    </w:p>
    <w:p w14:paraId="59F00BA4">
      <w:pPr>
        <w:pStyle w:val="5"/>
        <w:ind w:firstLine="640"/>
        <w:rPr>
          <w:rFonts w:hint="default"/>
          <w:color w:val="auto"/>
          <w:u w:val="none"/>
        </w:rPr>
      </w:pPr>
      <w:r>
        <w:rPr>
          <w:color w:val="auto"/>
          <w:u w:val="none"/>
        </w:rPr>
        <w:t>（1）系统的MTTF应不少于72小时；</w:t>
      </w:r>
    </w:p>
    <w:p w14:paraId="63FFC7E5">
      <w:pPr>
        <w:pStyle w:val="5"/>
        <w:ind w:firstLine="640"/>
        <w:rPr>
          <w:rFonts w:hint="default"/>
          <w:color w:val="auto"/>
          <w:u w:val="none"/>
        </w:rPr>
      </w:pPr>
      <w:r>
        <w:rPr>
          <w:color w:val="auto"/>
          <w:u w:val="none"/>
        </w:rPr>
        <w:t>（2）系统在考试任务期间可以连续无故障运行24小时。</w:t>
      </w:r>
    </w:p>
    <w:p w14:paraId="6B3C8559">
      <w:pPr>
        <w:pStyle w:val="3"/>
        <w:numPr>
          <w:ilvl w:val="255"/>
          <w:numId w:val="0"/>
        </w:numPr>
        <w:ind w:left="640" w:leftChars="200"/>
        <w:rPr>
          <w:color w:val="auto"/>
          <w:u w:val="none"/>
        </w:rPr>
      </w:pPr>
      <w:bookmarkStart w:id="8" w:name="_Toc148019466"/>
      <w:bookmarkStart w:id="9" w:name="_Toc146188410"/>
      <w:bookmarkStart w:id="10" w:name="_Toc145962940"/>
      <w:r>
        <w:rPr>
          <w:rFonts w:hint="eastAsia"/>
          <w:color w:val="auto"/>
          <w:u w:val="none"/>
        </w:rPr>
        <w:t>（二）可维护性要求</w:t>
      </w:r>
      <w:bookmarkEnd w:id="8"/>
      <w:bookmarkEnd w:id="9"/>
      <w:bookmarkEnd w:id="10"/>
    </w:p>
    <w:p w14:paraId="4E1A38D2">
      <w:pPr>
        <w:pStyle w:val="5"/>
        <w:ind w:firstLine="640"/>
        <w:rPr>
          <w:rFonts w:hint="default"/>
          <w:color w:val="auto"/>
          <w:u w:val="none"/>
        </w:rPr>
      </w:pPr>
      <w:r>
        <w:rPr>
          <w:color w:val="auto"/>
          <w:u w:val="none"/>
        </w:rPr>
        <w:t>系统可维护性应遵循G</w:t>
      </w:r>
      <w:r>
        <w:rPr>
          <w:rFonts w:hint="eastAsia"/>
          <w:color w:val="auto"/>
          <w:u w:val="none"/>
          <w:lang w:eastAsia="zh-CN"/>
        </w:rPr>
        <w:t>军</w:t>
      </w:r>
      <w:r>
        <w:rPr>
          <w:color w:val="auto"/>
          <w:u w:val="none"/>
        </w:rPr>
        <w:t>B1267-1991《</w:t>
      </w:r>
      <w:r>
        <w:rPr>
          <w:rFonts w:hint="eastAsia"/>
          <w:color w:val="auto"/>
          <w:u w:val="none"/>
          <w:lang w:eastAsia="zh-CN"/>
        </w:rPr>
        <w:t>军</w:t>
      </w:r>
      <w:r>
        <w:rPr>
          <w:color w:val="auto"/>
          <w:u w:val="none"/>
        </w:rPr>
        <w:t>用软件维护》的有关要求。</w:t>
      </w:r>
    </w:p>
    <w:p w14:paraId="0AE10172">
      <w:pPr>
        <w:pStyle w:val="5"/>
        <w:ind w:firstLine="640"/>
        <w:rPr>
          <w:rFonts w:hint="default"/>
          <w:color w:val="auto"/>
          <w:u w:val="none"/>
        </w:rPr>
      </w:pPr>
      <w:r>
        <w:rPr>
          <w:color w:val="auto"/>
          <w:u w:val="none"/>
        </w:rPr>
        <w:t>（1）系统应有详细的设计文档，包括接口说明、数据流程图等，以便开发人员理解模块的功能和交互；</w:t>
      </w:r>
    </w:p>
    <w:p w14:paraId="7BB7E0B2">
      <w:pPr>
        <w:pStyle w:val="5"/>
        <w:ind w:firstLine="640"/>
        <w:rPr>
          <w:rFonts w:hint="default"/>
          <w:color w:val="auto"/>
          <w:sz w:val="28"/>
          <w:u w:val="none"/>
          <w:shd w:val="clear" w:color="auto" w:fill="FFFFFF"/>
        </w:rPr>
      </w:pPr>
      <w:r>
        <w:rPr>
          <w:color w:val="auto"/>
          <w:u w:val="none"/>
        </w:rPr>
        <w:t>（2）系统的代码注释率不低于20%。</w:t>
      </w:r>
    </w:p>
    <w:p w14:paraId="7429D5D0">
      <w:pPr>
        <w:pStyle w:val="3"/>
        <w:numPr>
          <w:ilvl w:val="255"/>
          <w:numId w:val="0"/>
        </w:numPr>
        <w:ind w:left="640" w:leftChars="200"/>
        <w:rPr>
          <w:color w:val="auto"/>
          <w:u w:val="none"/>
        </w:rPr>
      </w:pPr>
      <w:bookmarkStart w:id="11" w:name="_Toc148019467"/>
      <w:bookmarkStart w:id="12" w:name="_Toc146188411"/>
      <w:bookmarkStart w:id="13" w:name="_Toc145962941"/>
      <w:r>
        <w:rPr>
          <w:rFonts w:hint="eastAsia"/>
          <w:color w:val="auto"/>
          <w:u w:val="none"/>
        </w:rPr>
        <w:t>（三）安全性要求</w:t>
      </w:r>
      <w:bookmarkEnd w:id="11"/>
      <w:bookmarkEnd w:id="12"/>
      <w:bookmarkEnd w:id="13"/>
    </w:p>
    <w:p w14:paraId="4811B493">
      <w:pPr>
        <w:pStyle w:val="5"/>
        <w:ind w:firstLine="640"/>
        <w:rPr>
          <w:rFonts w:hint="default"/>
          <w:color w:val="auto"/>
          <w:u w:val="none"/>
        </w:rPr>
      </w:pPr>
      <w:r>
        <w:rPr>
          <w:color w:val="auto"/>
          <w:u w:val="none"/>
        </w:rPr>
        <w:t>软件系统安全性应符合G</w:t>
      </w:r>
      <w:r>
        <w:rPr>
          <w:rFonts w:hint="eastAsia"/>
          <w:color w:val="auto"/>
          <w:u w:val="none"/>
          <w:lang w:eastAsia="zh-CN"/>
        </w:rPr>
        <w:t>军</w:t>
      </w:r>
      <w:r>
        <w:rPr>
          <w:color w:val="auto"/>
          <w:u w:val="none"/>
        </w:rPr>
        <w:t>B/Z102A-2012《</w:t>
      </w:r>
      <w:r>
        <w:rPr>
          <w:rFonts w:hint="eastAsia"/>
          <w:color w:val="auto"/>
          <w:u w:val="none"/>
          <w:lang w:eastAsia="zh-CN"/>
        </w:rPr>
        <w:t>军</w:t>
      </w:r>
      <w:r>
        <w:rPr>
          <w:color w:val="auto"/>
          <w:u w:val="none"/>
        </w:rPr>
        <w:t>用软件安全性设计指南》要求。典型安全性要求如下：</w:t>
      </w:r>
    </w:p>
    <w:p w14:paraId="4E680002">
      <w:pPr>
        <w:pStyle w:val="5"/>
        <w:ind w:firstLine="640"/>
        <w:rPr>
          <w:rFonts w:hint="default"/>
          <w:color w:val="auto"/>
          <w:u w:val="none"/>
        </w:rPr>
      </w:pPr>
      <w:r>
        <w:rPr>
          <w:color w:val="auto"/>
          <w:u w:val="none"/>
        </w:rPr>
        <w:t>（1）管理员用户、教员用户必须进行强制的双因素身份认证才能访问敏感数据，如未发布考试试卷、全体考试成绩等；</w:t>
      </w:r>
    </w:p>
    <w:p w14:paraId="46E59343">
      <w:pPr>
        <w:pStyle w:val="5"/>
        <w:ind w:firstLine="640"/>
        <w:rPr>
          <w:rFonts w:hint="default"/>
          <w:color w:val="auto"/>
          <w:u w:val="none"/>
        </w:rPr>
      </w:pPr>
      <w:r>
        <w:rPr>
          <w:color w:val="auto"/>
          <w:u w:val="none"/>
        </w:rPr>
        <w:t>（2）敏感数据在存储和传输过程中应使用AES-256加密，以保护数据免受未经授权的访问；</w:t>
      </w:r>
    </w:p>
    <w:p w14:paraId="67BEC8AA">
      <w:pPr>
        <w:pStyle w:val="5"/>
        <w:ind w:firstLine="640"/>
        <w:rPr>
          <w:rFonts w:hint="default"/>
          <w:color w:val="auto"/>
          <w:u w:val="none"/>
        </w:rPr>
      </w:pPr>
      <w:r>
        <w:rPr>
          <w:color w:val="auto"/>
          <w:u w:val="none"/>
        </w:rPr>
        <w:t>（3）系统应记录所有用户登录、操作和异常事件，并在24小时内对异常事件进行审查。</w:t>
      </w:r>
    </w:p>
    <w:p w14:paraId="118A557D">
      <w:pPr>
        <w:pStyle w:val="3"/>
        <w:numPr>
          <w:ilvl w:val="255"/>
          <w:numId w:val="0"/>
        </w:numPr>
        <w:ind w:left="640" w:leftChars="200"/>
        <w:rPr>
          <w:color w:val="auto"/>
          <w:u w:val="none"/>
        </w:rPr>
      </w:pPr>
      <w:bookmarkStart w:id="14" w:name="_Toc148019468"/>
      <w:bookmarkStart w:id="15" w:name="_Toc145962942"/>
      <w:bookmarkStart w:id="16" w:name="_Toc146188412"/>
      <w:r>
        <w:rPr>
          <w:rFonts w:hint="eastAsia"/>
          <w:color w:val="auto"/>
          <w:u w:val="none"/>
        </w:rPr>
        <w:t>（四）可扩展性要求</w:t>
      </w:r>
      <w:bookmarkEnd w:id="14"/>
      <w:bookmarkEnd w:id="15"/>
      <w:bookmarkEnd w:id="16"/>
    </w:p>
    <w:p w14:paraId="34E5193E">
      <w:pPr>
        <w:pStyle w:val="5"/>
        <w:ind w:firstLine="640"/>
        <w:rPr>
          <w:rFonts w:hint="default"/>
          <w:color w:val="auto"/>
          <w:u w:val="none"/>
        </w:rPr>
      </w:pPr>
      <w:r>
        <w:rPr>
          <w:color w:val="auto"/>
          <w:u w:val="none"/>
        </w:rPr>
        <w:t>（1）系统应支持在需要时通过添加服务器节点来实现水平扩展，以应对用户量的增加；</w:t>
      </w:r>
    </w:p>
    <w:p w14:paraId="129E477A">
      <w:pPr>
        <w:pStyle w:val="5"/>
        <w:ind w:firstLine="640"/>
        <w:rPr>
          <w:rFonts w:hint="default"/>
          <w:color w:val="auto"/>
          <w:sz w:val="28"/>
          <w:u w:val="none"/>
          <w:shd w:val="clear" w:color="auto" w:fill="FFFFFF"/>
        </w:rPr>
      </w:pPr>
      <w:r>
        <w:rPr>
          <w:color w:val="auto"/>
          <w:u w:val="none"/>
        </w:rPr>
        <w:t>（2）系统应支持在需要时通过增加单个服务器的硬件资源来提升性能，例如内存和处理器。</w:t>
      </w:r>
    </w:p>
    <w:p w14:paraId="0D9FDA29">
      <w:pPr>
        <w:pStyle w:val="3"/>
        <w:numPr>
          <w:ilvl w:val="255"/>
          <w:numId w:val="0"/>
        </w:numPr>
        <w:ind w:left="640" w:leftChars="200"/>
        <w:rPr>
          <w:color w:val="auto"/>
          <w:u w:val="none"/>
        </w:rPr>
      </w:pPr>
      <w:bookmarkStart w:id="17" w:name="_Toc148019469"/>
      <w:bookmarkStart w:id="18" w:name="_Toc145962943"/>
      <w:bookmarkStart w:id="19" w:name="_Toc146188413"/>
      <w:r>
        <w:rPr>
          <w:rFonts w:hint="eastAsia"/>
          <w:color w:val="auto"/>
          <w:u w:val="none"/>
        </w:rPr>
        <w:t>（五）易用性要求</w:t>
      </w:r>
      <w:bookmarkEnd w:id="17"/>
      <w:bookmarkEnd w:id="18"/>
      <w:bookmarkEnd w:id="19"/>
    </w:p>
    <w:p w14:paraId="7C4858BD">
      <w:pPr>
        <w:pStyle w:val="5"/>
        <w:ind w:firstLine="640"/>
        <w:rPr>
          <w:rFonts w:hint="default"/>
          <w:color w:val="auto"/>
          <w:u w:val="none"/>
        </w:rPr>
      </w:pPr>
      <w:r>
        <w:rPr>
          <w:color w:val="auto"/>
          <w:u w:val="none"/>
        </w:rPr>
        <w:t>（1）用户在系统内应能够通过最多2次点击即可到达目标页面，减少不必要的导航步骤；</w:t>
      </w:r>
    </w:p>
    <w:p w14:paraId="5A3FF48D">
      <w:pPr>
        <w:pStyle w:val="5"/>
        <w:ind w:firstLine="640"/>
        <w:rPr>
          <w:rFonts w:hint="default"/>
          <w:color w:val="auto"/>
          <w:u w:val="none"/>
        </w:rPr>
      </w:pPr>
      <w:r>
        <w:rPr>
          <w:color w:val="auto"/>
          <w:u w:val="none"/>
        </w:rPr>
        <w:t>（2）系统的用户界面应采用直观的图标和布局，以便用户快速理解和操作。系统的错误提示信息应使用简单明了的语言，指导用户识别和解决问题；</w:t>
      </w:r>
    </w:p>
    <w:p w14:paraId="69516FED">
      <w:pPr>
        <w:rPr>
          <w:rFonts w:ascii="仿宋_GB2312"/>
          <w:color w:val="auto"/>
          <w:szCs w:val="32"/>
          <w:u w:val="none"/>
        </w:rPr>
      </w:pPr>
      <w:r>
        <w:rPr>
          <w:rFonts w:hint="eastAsia" w:ascii="仿宋_GB2312"/>
          <w:color w:val="auto"/>
          <w:szCs w:val="32"/>
          <w:u w:val="none"/>
        </w:rPr>
        <w:t>（3）用户应能够在不超过15分钟的时间内熟悉系统的主要功能，无需长时间培训；</w:t>
      </w:r>
    </w:p>
    <w:p w14:paraId="3968C404">
      <w:pPr>
        <w:rPr>
          <w:rFonts w:ascii="楷体" w:hAnsi="楷体" w:eastAsia="楷体" w:cs="Helvetica"/>
          <w:color w:val="auto"/>
          <w:sz w:val="30"/>
          <w:szCs w:val="30"/>
          <w:u w:val="none"/>
          <w:shd w:val="clear" w:color="auto" w:fill="FFFFFF"/>
        </w:rPr>
      </w:pPr>
      <w:r>
        <w:rPr>
          <w:rFonts w:hint="eastAsia" w:ascii="仿宋_GB2312"/>
          <w:color w:val="auto"/>
          <w:szCs w:val="32"/>
          <w:u w:val="none"/>
        </w:rPr>
        <w:t>（4）系统应在用户操作后立即提供反馈，告知用户操作结果或下一步动作。</w:t>
      </w:r>
    </w:p>
    <w:p w14:paraId="04AA3936">
      <w:pPr>
        <w:pStyle w:val="3"/>
        <w:numPr>
          <w:ilvl w:val="255"/>
          <w:numId w:val="0"/>
        </w:numPr>
        <w:ind w:left="640" w:leftChars="200"/>
        <w:rPr>
          <w:color w:val="auto"/>
          <w:u w:val="none"/>
        </w:rPr>
      </w:pPr>
      <w:bookmarkStart w:id="20" w:name="_Toc146188414"/>
      <w:bookmarkStart w:id="21" w:name="_Toc148019470"/>
      <w:bookmarkStart w:id="22" w:name="_Toc145962944"/>
      <w:r>
        <w:rPr>
          <w:rFonts w:hint="eastAsia"/>
          <w:color w:val="auto"/>
          <w:u w:val="none"/>
        </w:rPr>
        <w:t>（六）健壮性要求</w:t>
      </w:r>
      <w:bookmarkEnd w:id="20"/>
      <w:bookmarkEnd w:id="21"/>
      <w:bookmarkEnd w:id="22"/>
    </w:p>
    <w:p w14:paraId="2B30551F">
      <w:pPr>
        <w:rPr>
          <w:rFonts w:ascii="仿宋_GB2312"/>
          <w:color w:val="auto"/>
          <w:szCs w:val="32"/>
          <w:u w:val="none"/>
        </w:rPr>
      </w:pPr>
      <w:r>
        <w:rPr>
          <w:rFonts w:hint="eastAsia" w:ascii="仿宋_GB2312"/>
          <w:color w:val="auto"/>
          <w:szCs w:val="32"/>
          <w:u w:val="none"/>
        </w:rPr>
        <w:t>（1）所有用户输入数据应进行有效性验证和清理，防止恶意输入攻击；</w:t>
      </w:r>
    </w:p>
    <w:p w14:paraId="4AF1CE94">
      <w:pPr>
        <w:rPr>
          <w:rFonts w:ascii="仿宋_GB2312"/>
          <w:color w:val="auto"/>
          <w:szCs w:val="32"/>
          <w:u w:val="none"/>
        </w:rPr>
      </w:pPr>
      <w:r>
        <w:rPr>
          <w:rFonts w:hint="eastAsia" w:ascii="仿宋_GB2312"/>
          <w:color w:val="auto"/>
          <w:szCs w:val="32"/>
          <w:u w:val="none"/>
        </w:rPr>
        <w:t>（2）当数据库连接中断时，系统应能自动尝试重新连接并继续运行；</w:t>
      </w:r>
    </w:p>
    <w:p w14:paraId="3278C5A0">
      <w:pPr>
        <w:rPr>
          <w:rFonts w:ascii="仿宋_GB2312"/>
          <w:color w:val="auto"/>
          <w:szCs w:val="32"/>
          <w:u w:val="none"/>
        </w:rPr>
      </w:pPr>
      <w:r>
        <w:rPr>
          <w:rFonts w:hint="eastAsia" w:ascii="仿宋_GB2312"/>
          <w:color w:val="auto"/>
          <w:szCs w:val="32"/>
          <w:u w:val="none"/>
        </w:rPr>
        <w:t>（3）所有错误和异常事件应被记录，并能够在管理员审查时进行查询。</w:t>
      </w:r>
    </w:p>
    <w:p w14:paraId="36392B9D">
      <w:pPr>
        <w:pStyle w:val="3"/>
        <w:numPr>
          <w:ilvl w:val="255"/>
          <w:numId w:val="0"/>
        </w:numPr>
        <w:ind w:left="640" w:leftChars="200"/>
        <w:rPr>
          <w:color w:val="auto"/>
          <w:u w:val="none"/>
        </w:rPr>
      </w:pPr>
      <w:bookmarkStart w:id="23" w:name="_Toc145962945"/>
      <w:bookmarkStart w:id="24" w:name="_Toc146188415"/>
      <w:bookmarkStart w:id="25" w:name="_Toc148019471"/>
      <w:r>
        <w:rPr>
          <w:rFonts w:hint="eastAsia"/>
          <w:color w:val="auto"/>
          <w:u w:val="none"/>
        </w:rPr>
        <w:t>（七）可集成性要求</w:t>
      </w:r>
      <w:bookmarkEnd w:id="23"/>
      <w:bookmarkEnd w:id="24"/>
      <w:bookmarkEnd w:id="25"/>
    </w:p>
    <w:p w14:paraId="0E333BBA">
      <w:pPr>
        <w:rPr>
          <w:rFonts w:ascii="仿宋_GB2312"/>
          <w:color w:val="auto"/>
          <w:szCs w:val="32"/>
          <w:u w:val="none"/>
        </w:rPr>
      </w:pPr>
      <w:r>
        <w:rPr>
          <w:rFonts w:hint="eastAsia" w:ascii="仿宋_GB2312"/>
          <w:color w:val="auto"/>
          <w:szCs w:val="32"/>
          <w:u w:val="none"/>
        </w:rPr>
        <w:t>（1）</w:t>
      </w:r>
      <w:r>
        <w:rPr>
          <w:rFonts w:ascii="仿宋_GB2312"/>
          <w:color w:val="auto"/>
          <w:szCs w:val="32"/>
          <w:u w:val="none"/>
        </w:rPr>
        <w:t>系统应提供RESTful API接口，符合行业标准，以便与其他系统进行集成</w:t>
      </w:r>
      <w:r>
        <w:rPr>
          <w:rFonts w:hint="eastAsia" w:ascii="仿宋_GB2312"/>
          <w:color w:val="auto"/>
          <w:szCs w:val="32"/>
          <w:u w:val="none"/>
        </w:rPr>
        <w:t>。</w:t>
      </w:r>
    </w:p>
    <w:p w14:paraId="0B8EFE20">
      <w:pPr>
        <w:rPr>
          <w:rFonts w:ascii="仿宋_GB2312"/>
          <w:color w:val="auto"/>
          <w:szCs w:val="32"/>
          <w:u w:val="none"/>
        </w:rPr>
      </w:pPr>
      <w:r>
        <w:rPr>
          <w:rFonts w:ascii="仿宋_GB2312"/>
          <w:color w:val="auto"/>
          <w:szCs w:val="32"/>
          <w:u w:val="none"/>
        </w:rPr>
        <w:t>系统的数据应使用通用的</w:t>
      </w:r>
      <w:r>
        <w:rPr>
          <w:rFonts w:hint="eastAsia" w:ascii="仿宋_GB2312"/>
          <w:color w:val="auto"/>
          <w:szCs w:val="32"/>
          <w:u w:val="none"/>
          <w:lang w:eastAsia="zh-CN"/>
        </w:rPr>
        <w:t>军</w:t>
      </w:r>
      <w:r>
        <w:rPr>
          <w:rFonts w:ascii="仿宋_GB2312"/>
          <w:color w:val="auto"/>
          <w:szCs w:val="32"/>
          <w:u w:val="none"/>
        </w:rPr>
        <w:t>SON格式，并遵循统一的数据命名约定，以便与其他系统交换</w:t>
      </w:r>
      <w:r>
        <w:rPr>
          <w:rFonts w:hint="eastAsia" w:ascii="仿宋_GB2312"/>
          <w:color w:val="auto"/>
          <w:szCs w:val="32"/>
          <w:u w:val="none"/>
        </w:rPr>
        <w:t>数据</w:t>
      </w:r>
    </w:p>
    <w:p w14:paraId="29F5F3A4">
      <w:pPr>
        <w:numPr>
          <w:ilvl w:val="0"/>
          <w:numId w:val="5"/>
        </w:numPr>
        <w:rPr>
          <w:rFonts w:ascii="仿宋_GB2312"/>
          <w:color w:val="auto"/>
          <w:szCs w:val="32"/>
          <w:u w:val="none"/>
        </w:rPr>
      </w:pPr>
      <w:r>
        <w:rPr>
          <w:rFonts w:ascii="仿宋_GB2312"/>
          <w:color w:val="auto"/>
          <w:szCs w:val="32"/>
          <w:u w:val="none"/>
        </w:rPr>
        <w:t>系统应支持HTTP和HTTPS协议，以确保与其他系统之间的安全通信</w:t>
      </w:r>
      <w:r>
        <w:rPr>
          <w:rFonts w:hint="eastAsia" w:ascii="仿宋_GB2312"/>
          <w:color w:val="auto"/>
          <w:szCs w:val="32"/>
          <w:u w:val="none"/>
        </w:rPr>
        <w:t>；</w:t>
      </w:r>
    </w:p>
    <w:p w14:paraId="2EFD0034">
      <w:pPr>
        <w:numPr>
          <w:ilvl w:val="0"/>
          <w:numId w:val="5"/>
        </w:numPr>
        <w:spacing w:line="520" w:lineRule="exact"/>
        <w:rPr>
          <w:rFonts w:ascii="仿宋_GB2312"/>
          <w:color w:val="auto"/>
          <w:szCs w:val="32"/>
          <w:u w:val="none"/>
        </w:rPr>
      </w:pPr>
      <w:r>
        <w:rPr>
          <w:rFonts w:ascii="仿宋_GB2312"/>
          <w:color w:val="auto"/>
          <w:szCs w:val="32"/>
          <w:u w:val="none"/>
        </w:rPr>
        <w:t>系统的接口文档应包括详细的接口说明和示例代码，以便其他系统开发人员理解和使用接口</w:t>
      </w:r>
      <w:r>
        <w:rPr>
          <w:rFonts w:hint="eastAsia" w:ascii="仿宋_GB2312"/>
          <w:color w:val="auto"/>
          <w:szCs w:val="32"/>
          <w:u w:val="none"/>
        </w:rPr>
        <w:t>。最终交付学校的软件系统，支持学校自行二次开发和功能完善</w:t>
      </w:r>
      <w:r>
        <w:rPr>
          <w:rFonts w:ascii="仿宋_GB2312"/>
          <w:color w:val="auto"/>
          <w:szCs w:val="32"/>
          <w:u w:val="none"/>
        </w:rPr>
        <w:t>。</w:t>
      </w:r>
    </w:p>
    <w:p w14:paraId="08CC413F">
      <w:pPr>
        <w:pStyle w:val="2"/>
        <w:rPr>
          <w:color w:val="auto"/>
          <w:u w:val="none"/>
        </w:rPr>
      </w:pPr>
      <w:r>
        <w:rPr>
          <w:rFonts w:hint="eastAsia"/>
          <w:color w:val="auto"/>
          <w:u w:val="none"/>
        </w:rPr>
        <w:t>四、</w:t>
      </w:r>
      <w:r>
        <w:rPr>
          <w:rFonts w:hint="eastAsia" w:ascii="黑体" w:hAnsi="黑体"/>
          <w:color w:val="auto"/>
          <w:u w:val="none"/>
        </w:rPr>
        <w:t>质量管理要求</w:t>
      </w:r>
    </w:p>
    <w:p w14:paraId="3EE0ECB4">
      <w:pPr>
        <w:rPr>
          <w:color w:val="auto"/>
          <w:u w:val="none"/>
        </w:rPr>
      </w:pPr>
      <w:r>
        <w:rPr>
          <w:rFonts w:hint="eastAsia"/>
          <w:color w:val="auto"/>
          <w:u w:val="none"/>
        </w:rPr>
        <w:t>承研方需要全程参与系统研制的各项工作，参照</w:t>
      </w:r>
      <w:r>
        <w:rPr>
          <w:rFonts w:hint="eastAsia" w:ascii="仿宋_GB2312" w:hAnsi="仿宋_GB2312" w:cs="仿宋_GB2312"/>
          <w:color w:val="auto"/>
          <w:u w:val="none"/>
        </w:rPr>
        <w:t>《GB/T 8567-2006 计算机软件文档编制规范》《GB/T 9385-2008 计算机软件需求规格说明规范》</w:t>
      </w:r>
      <w:r>
        <w:rPr>
          <w:rFonts w:hint="eastAsia"/>
          <w:color w:val="auto"/>
          <w:u w:val="none"/>
        </w:rPr>
        <w:t>等标准规范要求进行软件开发和相关技术文档编制工作。统筹研制开发进度，制定实施计划，有序可控高质量地展开工作。建立质量管理评估机制，在关键时间节点组织进度检查和质量评估，接受采购单位及上级机关的检查督导，提出相应整改措施，并定期报告进展情况。</w:t>
      </w:r>
    </w:p>
    <w:p w14:paraId="7168CE5B">
      <w:pPr>
        <w:pStyle w:val="2"/>
        <w:rPr>
          <w:color w:val="auto"/>
          <w:u w:val="none"/>
        </w:rPr>
      </w:pPr>
      <w:r>
        <w:rPr>
          <w:rFonts w:hint="eastAsia"/>
          <w:color w:val="auto"/>
          <w:u w:val="none"/>
        </w:rPr>
        <w:t>五、</w:t>
      </w:r>
      <w:r>
        <w:rPr>
          <w:rFonts w:hint="eastAsia" w:ascii="黑体" w:hAnsi="黑体"/>
          <w:color w:val="auto"/>
          <w:u w:val="none"/>
        </w:rPr>
        <w:t>质量管理要求</w:t>
      </w:r>
    </w:p>
    <w:p w14:paraId="53303186">
      <w:pPr>
        <w:pStyle w:val="3"/>
        <w:numPr>
          <w:ilvl w:val="255"/>
          <w:numId w:val="0"/>
        </w:numPr>
        <w:ind w:left="640" w:leftChars="200"/>
        <w:rPr>
          <w:color w:val="auto"/>
          <w:u w:val="none"/>
        </w:rPr>
      </w:pPr>
      <w:bookmarkStart w:id="26" w:name="_Toc145962950"/>
      <w:bookmarkStart w:id="27" w:name="_Toc146188420"/>
      <w:bookmarkStart w:id="28" w:name="_Toc148019476"/>
      <w:r>
        <w:rPr>
          <w:rFonts w:hint="eastAsia"/>
          <w:color w:val="auto"/>
          <w:u w:val="none"/>
        </w:rPr>
        <w:t>（一）软件测评要求</w:t>
      </w:r>
      <w:bookmarkEnd w:id="26"/>
      <w:bookmarkEnd w:id="27"/>
      <w:bookmarkEnd w:id="28"/>
    </w:p>
    <w:p w14:paraId="01C93847">
      <w:pPr>
        <w:rPr>
          <w:rFonts w:ascii="仿宋_GB2312"/>
          <w:color w:val="auto"/>
          <w:szCs w:val="32"/>
          <w:u w:val="none"/>
        </w:rPr>
      </w:pPr>
      <w:r>
        <w:rPr>
          <w:rFonts w:hint="eastAsia" w:ascii="仿宋_GB2312"/>
          <w:color w:val="auto"/>
          <w:szCs w:val="32"/>
          <w:u w:val="none"/>
        </w:rPr>
        <w:t>软件系统需通过具备资质的第三方专业机构测评，并出具测评通过的检测报告；测评费用由建设方承担。</w:t>
      </w:r>
    </w:p>
    <w:p w14:paraId="35F7F392">
      <w:pPr>
        <w:pStyle w:val="3"/>
        <w:numPr>
          <w:ilvl w:val="255"/>
          <w:numId w:val="0"/>
        </w:numPr>
        <w:ind w:left="640" w:leftChars="200"/>
        <w:rPr>
          <w:color w:val="auto"/>
          <w:u w:val="none"/>
        </w:rPr>
      </w:pPr>
      <w:bookmarkStart w:id="29" w:name="_Toc148019477"/>
      <w:bookmarkStart w:id="30" w:name="_Toc146188421"/>
      <w:bookmarkStart w:id="31" w:name="_Toc145962951"/>
      <w:r>
        <w:rPr>
          <w:rFonts w:hint="eastAsia"/>
          <w:color w:val="auto"/>
          <w:u w:val="none"/>
        </w:rPr>
        <w:t>（二）项目验收要求</w:t>
      </w:r>
      <w:bookmarkEnd w:id="29"/>
      <w:bookmarkEnd w:id="30"/>
      <w:bookmarkEnd w:id="31"/>
    </w:p>
    <w:p w14:paraId="0DBA407F">
      <w:pPr>
        <w:rPr>
          <w:rFonts w:ascii="仿宋_GB2312"/>
          <w:color w:val="auto"/>
          <w:szCs w:val="32"/>
          <w:u w:val="none"/>
        </w:rPr>
      </w:pPr>
      <w:r>
        <w:rPr>
          <w:rFonts w:hint="eastAsia" w:ascii="仿宋_GB2312"/>
          <w:color w:val="auto"/>
          <w:szCs w:val="32"/>
          <w:u w:val="none"/>
        </w:rPr>
        <w:t>项目验收由采购单位依照</w:t>
      </w:r>
      <w:r>
        <w:rPr>
          <w:rFonts w:ascii="仿宋_GB2312"/>
          <w:color w:val="auto"/>
          <w:szCs w:val="32"/>
          <w:u w:val="none"/>
        </w:rPr>
        <w:t>GB/T28035-2011</w:t>
      </w:r>
      <w:r>
        <w:rPr>
          <w:rFonts w:hint="eastAsia" w:ascii="仿宋_GB2312"/>
          <w:color w:val="auto"/>
          <w:szCs w:val="32"/>
          <w:u w:val="none"/>
        </w:rPr>
        <w:t>《软件系统验收规范》规定的标准和步骤组织，承研方需按照需求方要求全力做好配合工作。</w:t>
      </w:r>
    </w:p>
    <w:p w14:paraId="3A4B3F74">
      <w:pPr>
        <w:pStyle w:val="2"/>
        <w:rPr>
          <w:color w:val="auto"/>
          <w:u w:val="none"/>
        </w:rPr>
      </w:pPr>
      <w:bookmarkStart w:id="32" w:name="_Toc145962952"/>
      <w:bookmarkStart w:id="33" w:name="_Toc146188422"/>
      <w:bookmarkStart w:id="34" w:name="_Toc148019479"/>
      <w:r>
        <w:rPr>
          <w:rFonts w:hint="eastAsia"/>
          <w:color w:val="auto"/>
          <w:u w:val="none"/>
        </w:rPr>
        <w:t>六、项目团队要求</w:t>
      </w:r>
      <w:bookmarkEnd w:id="32"/>
      <w:bookmarkEnd w:id="33"/>
      <w:bookmarkEnd w:id="34"/>
    </w:p>
    <w:p w14:paraId="419A2E3B">
      <w:pPr>
        <w:rPr>
          <w:rFonts w:ascii="仿宋_GB2312"/>
          <w:color w:val="auto"/>
          <w:szCs w:val="32"/>
          <w:u w:val="none"/>
        </w:rPr>
      </w:pPr>
      <w:r>
        <w:rPr>
          <w:rFonts w:hint="eastAsia" w:ascii="仿宋_GB2312"/>
          <w:color w:val="auto"/>
          <w:szCs w:val="32"/>
          <w:u w:val="none"/>
        </w:rPr>
        <w:t>项目负责人具备高级工程师职称和相关证书，曾主持负责200万元及以上软件开发类项目，投入本项目时间6个月及以上。技术负责人具备软件设计师证书，投入本项目时间8个月及以上。</w:t>
      </w:r>
    </w:p>
    <w:p w14:paraId="5442B6ED">
      <w:pPr>
        <w:rPr>
          <w:color w:val="auto"/>
          <w:u w:val="none"/>
        </w:rPr>
      </w:pPr>
      <w:r>
        <w:rPr>
          <w:rFonts w:hint="eastAsia" w:ascii="仿宋_GB2312"/>
          <w:color w:val="auto"/>
          <w:szCs w:val="32"/>
          <w:u w:val="none"/>
        </w:rPr>
        <w:t>项目团队人员要求，参与项目实施的团队成员人数不少于6人（含项目负责人），其中具有中级及以上职称人员不少于4人。</w:t>
      </w:r>
    </w:p>
    <w:p w14:paraId="498ADA1D">
      <w:pPr>
        <w:rPr>
          <w:rFonts w:ascii="仿宋_GB2312"/>
          <w:color w:val="auto"/>
          <w:szCs w:val="32"/>
          <w:u w:val="none"/>
        </w:rPr>
      </w:pPr>
      <w:r>
        <w:rPr>
          <w:rFonts w:ascii="仿宋_GB2312"/>
          <w:color w:val="auto"/>
          <w:szCs w:val="32"/>
          <w:u w:val="none"/>
        </w:rPr>
        <w:br w:type="page"/>
      </w:r>
    </w:p>
    <w:p w14:paraId="6D7B7941">
      <w:pPr>
        <w:keepNext/>
        <w:keepLines/>
        <w:ind w:firstLine="0" w:firstLineChars="0"/>
        <w:outlineLvl w:val="1"/>
        <w:rPr>
          <w:rFonts w:ascii="黑体" w:hAnsi="黑体" w:eastAsia="黑体" w:cs="Times New Roman"/>
          <w:color w:val="auto"/>
          <w:u w:val="none"/>
        </w:rPr>
      </w:pPr>
      <w:r>
        <w:rPr>
          <w:rFonts w:hint="eastAsia" w:ascii="黑体" w:hAnsi="黑体" w:eastAsia="黑体" w:cs="Times New Roman"/>
          <w:color w:val="auto"/>
          <w:u w:val="none"/>
        </w:rPr>
        <w:t>附件3</w:t>
      </w:r>
    </w:p>
    <w:p w14:paraId="42EC7969">
      <w:pPr>
        <w:pBdr>
          <w:top w:val="none" w:color="auto" w:sz="0" w:space="1"/>
          <w:left w:val="none" w:color="auto" w:sz="0" w:space="4"/>
          <w:bottom w:val="none" w:color="auto" w:sz="0" w:space="1"/>
          <w:right w:val="none" w:color="auto" w:sz="0" w:space="4"/>
        </w:pBdr>
        <w:overflowPunct w:val="0"/>
        <w:spacing w:before="156" w:beforeLines="50" w:after="156" w:afterLines="50" w:line="570" w:lineRule="exact"/>
        <w:ind w:firstLine="0" w:firstLineChars="0"/>
        <w:jc w:val="center"/>
        <w:rPr>
          <w:rFonts w:ascii="方正小标宋简体" w:hAnsi="仿宋" w:eastAsia="方正小标宋简体"/>
          <w:color w:val="auto"/>
          <w:sz w:val="44"/>
          <w:szCs w:val="44"/>
          <w:u w:val="none"/>
        </w:rPr>
      </w:pPr>
      <w:r>
        <w:rPr>
          <w:rFonts w:hint="eastAsia" w:ascii="方正小标宋简体" w:hAnsi="仿宋" w:eastAsia="方正小标宋简体"/>
          <w:color w:val="auto"/>
          <w:sz w:val="44"/>
          <w:szCs w:val="44"/>
          <w:u w:val="none"/>
        </w:rPr>
        <w:t>经济要求</w:t>
      </w:r>
    </w:p>
    <w:p w14:paraId="5F996C1F">
      <w:pPr>
        <w:pStyle w:val="2"/>
        <w:rPr>
          <w:color w:val="auto"/>
          <w:u w:val="none"/>
        </w:rPr>
      </w:pPr>
      <w:bookmarkStart w:id="35" w:name="_Toc145962955"/>
      <w:bookmarkStart w:id="36" w:name="_Toc146188425"/>
      <w:bookmarkStart w:id="37" w:name="_Toc148019482"/>
      <w:r>
        <w:rPr>
          <w:rFonts w:hint="eastAsia"/>
          <w:color w:val="auto"/>
          <w:u w:val="none"/>
        </w:rPr>
        <w:t>一、预算安排</w:t>
      </w:r>
      <w:bookmarkEnd w:id="35"/>
      <w:bookmarkEnd w:id="36"/>
      <w:bookmarkEnd w:id="37"/>
    </w:p>
    <w:p w14:paraId="1D9B4D28">
      <w:pPr>
        <w:spacing w:line="560" w:lineRule="exact"/>
        <w:rPr>
          <w:rFonts w:ascii="仿宋_GB2312" w:hAnsi="宋体" w:cs="Times New Roman"/>
          <w:color w:val="auto"/>
          <w:kern w:val="0"/>
          <w:szCs w:val="32"/>
          <w:u w:val="none"/>
        </w:rPr>
      </w:pPr>
      <w:r>
        <w:rPr>
          <w:rFonts w:hint="eastAsia" w:ascii="仿宋_GB2312" w:hAnsi="仿宋_GB2312" w:cs="仿宋_GB2312"/>
          <w:color w:val="auto"/>
          <w:szCs w:val="32"/>
          <w:u w:val="none"/>
        </w:rPr>
        <w:t>本项目经费已落实，最高限价</w:t>
      </w:r>
      <w:r>
        <w:rPr>
          <w:rFonts w:hint="eastAsia" w:ascii="仿宋_GB2312" w:hAnsi="宋体" w:cs="Times New Roman"/>
          <w:color w:val="auto"/>
          <w:kern w:val="0"/>
          <w:szCs w:val="32"/>
          <w:u w:val="none"/>
        </w:rPr>
        <w:t>190万元。</w:t>
      </w:r>
    </w:p>
    <w:p w14:paraId="6B62D03A">
      <w:pPr>
        <w:pStyle w:val="2"/>
        <w:rPr>
          <w:color w:val="auto"/>
          <w:u w:val="none"/>
        </w:rPr>
      </w:pPr>
      <w:r>
        <w:rPr>
          <w:rFonts w:hint="eastAsia"/>
          <w:color w:val="auto"/>
          <w:u w:val="none"/>
        </w:rPr>
        <w:t>二、交付成果形式、交付或实施时间及地点要求</w:t>
      </w:r>
    </w:p>
    <w:p w14:paraId="3111F41C">
      <w:pPr>
        <w:pStyle w:val="3"/>
        <w:numPr>
          <w:ilvl w:val="255"/>
          <w:numId w:val="0"/>
        </w:numPr>
        <w:spacing w:line="240" w:lineRule="auto"/>
        <w:ind w:left="640" w:leftChars="200"/>
        <w:rPr>
          <w:color w:val="auto"/>
          <w:u w:val="none"/>
        </w:rPr>
      </w:pPr>
      <w:r>
        <w:rPr>
          <w:rFonts w:hint="eastAsia"/>
          <w:color w:val="auto"/>
          <w:u w:val="none"/>
        </w:rPr>
        <w:t>（一）成果形式</w:t>
      </w:r>
    </w:p>
    <w:p w14:paraId="1B905B99">
      <w:pPr>
        <w:spacing w:line="240" w:lineRule="auto"/>
        <w:ind w:firstLine="0" w:firstLineChars="0"/>
        <w:jc w:val="center"/>
        <w:rPr>
          <w:rFonts w:ascii="黑体" w:hAnsi="黑体" w:eastAsia="黑体" w:cs="Helvetica"/>
          <w:color w:val="auto"/>
          <w:szCs w:val="32"/>
          <w:u w:val="none"/>
          <w:shd w:val="clear" w:color="auto" w:fill="FFFFFF"/>
        </w:rPr>
      </w:pPr>
      <w:r>
        <w:rPr>
          <w:rFonts w:hint="eastAsia" w:ascii="黑体" w:hAnsi="黑体" w:eastAsia="黑体" w:cs="Helvetica"/>
          <w:color w:val="auto"/>
          <w:szCs w:val="32"/>
          <w:u w:val="none"/>
          <w:shd w:val="clear" w:color="auto" w:fill="FFFFFF"/>
        </w:rPr>
        <w:t>交付成果</w:t>
      </w:r>
    </w:p>
    <w:tbl>
      <w:tblPr>
        <w:tblStyle w:val="1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046"/>
        <w:gridCol w:w="1278"/>
        <w:gridCol w:w="826"/>
        <w:gridCol w:w="927"/>
        <w:gridCol w:w="1445"/>
      </w:tblGrid>
      <w:tr w14:paraId="0E3E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774" w:type="dxa"/>
            <w:vAlign w:val="center"/>
          </w:tcPr>
          <w:p w14:paraId="1310C588">
            <w:pPr>
              <w:keepNext w:val="0"/>
              <w:keepLines w:val="0"/>
              <w:suppressLineNumbers w:val="0"/>
              <w:spacing w:before="0" w:beforeAutospacing="0" w:after="0" w:afterAutospacing="0" w:line="300" w:lineRule="exact"/>
              <w:ind w:left="0" w:right="0" w:firstLine="0" w:firstLineChars="0"/>
              <w:jc w:val="center"/>
              <w:rPr>
                <w:rFonts w:hint="default" w:ascii="黑体" w:hAnsi="黑体" w:eastAsia="黑体" w:cs="宋体"/>
                <w:color w:val="auto"/>
                <w:sz w:val="24"/>
                <w:u w:val="none"/>
              </w:rPr>
            </w:pPr>
            <w:r>
              <w:rPr>
                <w:rFonts w:hint="eastAsia" w:ascii="黑体" w:hAnsi="黑体" w:eastAsia="黑体" w:cs="宋体"/>
                <w:color w:val="auto"/>
                <w:sz w:val="24"/>
                <w:u w:val="none"/>
              </w:rPr>
              <w:t>序号</w:t>
            </w:r>
          </w:p>
        </w:tc>
        <w:tc>
          <w:tcPr>
            <w:tcW w:w="3046" w:type="dxa"/>
            <w:vAlign w:val="center"/>
          </w:tcPr>
          <w:p w14:paraId="33B0D279">
            <w:pPr>
              <w:keepNext w:val="0"/>
              <w:keepLines w:val="0"/>
              <w:suppressLineNumbers w:val="0"/>
              <w:spacing w:before="0" w:beforeAutospacing="0" w:after="0" w:afterAutospacing="0" w:line="300" w:lineRule="exact"/>
              <w:ind w:left="0" w:right="0" w:firstLine="0" w:firstLineChars="0"/>
              <w:jc w:val="center"/>
              <w:rPr>
                <w:rFonts w:hint="default" w:ascii="黑体" w:hAnsi="黑体" w:eastAsia="黑体" w:cs="宋体"/>
                <w:color w:val="auto"/>
                <w:sz w:val="24"/>
                <w:u w:val="none"/>
              </w:rPr>
            </w:pPr>
            <w:r>
              <w:rPr>
                <w:rFonts w:hint="eastAsia" w:ascii="黑体" w:hAnsi="黑体" w:eastAsia="黑体" w:cs="宋体"/>
                <w:color w:val="auto"/>
                <w:sz w:val="24"/>
                <w:u w:val="none"/>
              </w:rPr>
              <w:t>成果名称</w:t>
            </w:r>
          </w:p>
        </w:tc>
        <w:tc>
          <w:tcPr>
            <w:tcW w:w="1278" w:type="dxa"/>
            <w:vAlign w:val="center"/>
          </w:tcPr>
          <w:p w14:paraId="5D054528">
            <w:pPr>
              <w:keepNext w:val="0"/>
              <w:keepLines w:val="0"/>
              <w:suppressLineNumbers w:val="0"/>
              <w:spacing w:before="0" w:beforeAutospacing="0" w:after="0" w:afterAutospacing="0" w:line="300" w:lineRule="exact"/>
              <w:ind w:left="0" w:right="0" w:firstLine="0" w:firstLineChars="0"/>
              <w:jc w:val="center"/>
              <w:rPr>
                <w:rFonts w:hint="default" w:ascii="黑体" w:hAnsi="黑体" w:eastAsia="黑体" w:cs="宋体"/>
                <w:color w:val="auto"/>
                <w:sz w:val="24"/>
                <w:u w:val="none"/>
              </w:rPr>
            </w:pPr>
            <w:r>
              <w:rPr>
                <w:rFonts w:hint="eastAsia" w:ascii="黑体" w:hAnsi="黑体" w:eastAsia="黑体" w:cs="宋体"/>
                <w:color w:val="auto"/>
                <w:sz w:val="24"/>
                <w:u w:val="none"/>
              </w:rPr>
              <w:t>形态</w:t>
            </w:r>
          </w:p>
        </w:tc>
        <w:tc>
          <w:tcPr>
            <w:tcW w:w="826" w:type="dxa"/>
            <w:vAlign w:val="center"/>
          </w:tcPr>
          <w:p w14:paraId="1F8BA017">
            <w:pPr>
              <w:keepNext w:val="0"/>
              <w:keepLines w:val="0"/>
              <w:suppressLineNumbers w:val="0"/>
              <w:spacing w:before="0" w:beforeAutospacing="0" w:after="0" w:afterAutospacing="0" w:line="300" w:lineRule="exact"/>
              <w:ind w:left="0" w:right="0" w:firstLine="0" w:firstLineChars="0"/>
              <w:jc w:val="center"/>
              <w:rPr>
                <w:rFonts w:hint="default" w:ascii="黑体" w:hAnsi="黑体" w:eastAsia="黑体" w:cs="宋体"/>
                <w:color w:val="auto"/>
                <w:sz w:val="24"/>
                <w:u w:val="none"/>
              </w:rPr>
            </w:pPr>
            <w:r>
              <w:rPr>
                <w:rFonts w:hint="eastAsia" w:ascii="黑体" w:hAnsi="黑体" w:eastAsia="黑体" w:cs="宋体"/>
                <w:color w:val="auto"/>
                <w:sz w:val="24"/>
                <w:u w:val="none"/>
              </w:rPr>
              <w:t>数量</w:t>
            </w:r>
          </w:p>
        </w:tc>
        <w:tc>
          <w:tcPr>
            <w:tcW w:w="927" w:type="dxa"/>
            <w:vAlign w:val="center"/>
          </w:tcPr>
          <w:p w14:paraId="5BB3DAE2">
            <w:pPr>
              <w:keepNext w:val="0"/>
              <w:keepLines w:val="0"/>
              <w:suppressLineNumbers w:val="0"/>
              <w:spacing w:before="0" w:beforeAutospacing="0" w:after="0" w:afterAutospacing="0" w:line="300" w:lineRule="exact"/>
              <w:ind w:left="0" w:right="0" w:firstLine="0" w:firstLineChars="0"/>
              <w:jc w:val="center"/>
              <w:rPr>
                <w:rFonts w:hint="default" w:ascii="黑体" w:hAnsi="黑体" w:eastAsia="黑体" w:cs="宋体"/>
                <w:color w:val="auto"/>
                <w:sz w:val="24"/>
                <w:u w:val="none"/>
              </w:rPr>
            </w:pPr>
            <w:r>
              <w:rPr>
                <w:rFonts w:hint="eastAsia" w:ascii="黑体" w:hAnsi="黑体" w:eastAsia="黑体" w:cs="宋体"/>
                <w:color w:val="auto"/>
                <w:sz w:val="24"/>
                <w:u w:val="none"/>
              </w:rPr>
              <w:t>单位</w:t>
            </w:r>
          </w:p>
        </w:tc>
        <w:tc>
          <w:tcPr>
            <w:tcW w:w="1445" w:type="dxa"/>
            <w:vAlign w:val="center"/>
          </w:tcPr>
          <w:p w14:paraId="55E63E68">
            <w:pPr>
              <w:keepNext w:val="0"/>
              <w:keepLines w:val="0"/>
              <w:suppressLineNumbers w:val="0"/>
              <w:spacing w:before="0" w:beforeAutospacing="0" w:after="0" w:afterAutospacing="0" w:line="300" w:lineRule="exact"/>
              <w:ind w:left="0" w:right="0" w:firstLine="0" w:firstLineChars="0"/>
              <w:jc w:val="center"/>
              <w:rPr>
                <w:rFonts w:hint="default" w:ascii="黑体" w:hAnsi="黑体" w:eastAsia="黑体" w:cs="宋体"/>
                <w:color w:val="auto"/>
                <w:sz w:val="24"/>
                <w:u w:val="none"/>
              </w:rPr>
            </w:pPr>
            <w:r>
              <w:rPr>
                <w:rFonts w:hint="eastAsia" w:ascii="黑体" w:hAnsi="黑体" w:eastAsia="黑体" w:cs="宋体"/>
                <w:color w:val="auto"/>
                <w:sz w:val="24"/>
                <w:u w:val="none"/>
              </w:rPr>
              <w:t>备注</w:t>
            </w:r>
          </w:p>
        </w:tc>
      </w:tr>
      <w:tr w14:paraId="5E43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296" w:type="dxa"/>
            <w:gridSpan w:val="6"/>
            <w:vAlign w:val="center"/>
          </w:tcPr>
          <w:p w14:paraId="2954D4E5">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r>
              <w:rPr>
                <w:rFonts w:hint="eastAsia" w:ascii="仿宋_GB2312" w:hAnsi="仿宋" w:cs="Times New Roman"/>
                <w:color w:val="auto"/>
                <w:sz w:val="24"/>
                <w:u w:val="none"/>
              </w:rPr>
              <w:t>一</w:t>
            </w:r>
            <w:r>
              <w:rPr>
                <w:rFonts w:hint="default" w:ascii="仿宋_GB2312" w:hAnsi="仿宋" w:cs="Times New Roman"/>
                <w:color w:val="auto"/>
                <w:sz w:val="24"/>
                <w:u w:val="none"/>
              </w:rPr>
              <w:t>、</w:t>
            </w:r>
            <w:r>
              <w:rPr>
                <w:rFonts w:hint="eastAsia" w:ascii="仿宋_GB2312" w:hAnsi="仿宋" w:cs="Times New Roman"/>
                <w:color w:val="auto"/>
                <w:sz w:val="24"/>
                <w:u w:val="none"/>
              </w:rPr>
              <w:t>项目</w:t>
            </w:r>
            <w:r>
              <w:rPr>
                <w:rFonts w:hint="default" w:ascii="仿宋_GB2312" w:hAnsi="仿宋" w:cs="Times New Roman"/>
                <w:color w:val="auto"/>
                <w:sz w:val="24"/>
                <w:u w:val="none"/>
              </w:rPr>
              <w:t>文档类</w:t>
            </w:r>
          </w:p>
        </w:tc>
      </w:tr>
      <w:tr w14:paraId="194F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74" w:type="dxa"/>
            <w:vAlign w:val="center"/>
          </w:tcPr>
          <w:p w14:paraId="2BE686D3">
            <w:pPr>
              <w:keepNext w:val="0"/>
              <w:keepLines w:val="0"/>
              <w:numPr>
                <w:ilvl w:val="0"/>
                <w:numId w:val="6"/>
              </w:numPr>
              <w:suppressLineNumbers w:val="0"/>
              <w:spacing w:before="0" w:beforeAutospacing="0" w:after="0" w:afterAutospacing="0" w:line="300" w:lineRule="exact"/>
              <w:ind w:right="0" w:firstLineChars="0"/>
              <w:jc w:val="center"/>
              <w:rPr>
                <w:rFonts w:hint="default" w:ascii="仿宋_GB2312" w:hAnsi="仿宋" w:cs="Times New Roman"/>
                <w:color w:val="auto"/>
                <w:sz w:val="24"/>
                <w:u w:val="none"/>
              </w:rPr>
            </w:pPr>
          </w:p>
        </w:tc>
        <w:tc>
          <w:tcPr>
            <w:tcW w:w="3046" w:type="dxa"/>
            <w:vAlign w:val="center"/>
          </w:tcPr>
          <w:p w14:paraId="11424869">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r>
              <w:rPr>
                <w:rFonts w:hint="eastAsia" w:ascii="仿宋_GB2312" w:hAnsi="仿宋" w:cs="Times New Roman"/>
                <w:color w:val="auto"/>
                <w:sz w:val="24"/>
                <w:szCs w:val="24"/>
                <w:u w:val="none"/>
              </w:rPr>
              <w:t>项目技术方案</w:t>
            </w:r>
          </w:p>
        </w:tc>
        <w:tc>
          <w:tcPr>
            <w:tcW w:w="1278" w:type="dxa"/>
            <w:vAlign w:val="center"/>
          </w:tcPr>
          <w:p w14:paraId="64B32FA6">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文档</w:t>
            </w:r>
          </w:p>
        </w:tc>
        <w:tc>
          <w:tcPr>
            <w:tcW w:w="826" w:type="dxa"/>
            <w:vAlign w:val="center"/>
          </w:tcPr>
          <w:p w14:paraId="2BF6D211">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default" w:ascii="仿宋_GB2312" w:hAnsi="仿宋" w:cs="Times New Roman"/>
                <w:color w:val="auto"/>
                <w:sz w:val="24"/>
                <w:szCs w:val="24"/>
                <w:u w:val="none"/>
              </w:rPr>
              <w:t>1</w:t>
            </w:r>
          </w:p>
        </w:tc>
        <w:tc>
          <w:tcPr>
            <w:tcW w:w="927" w:type="dxa"/>
            <w:vAlign w:val="center"/>
          </w:tcPr>
          <w:p w14:paraId="5EF66127">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套</w:t>
            </w:r>
          </w:p>
        </w:tc>
        <w:tc>
          <w:tcPr>
            <w:tcW w:w="1445" w:type="dxa"/>
            <w:vAlign w:val="center"/>
          </w:tcPr>
          <w:p w14:paraId="5B04A722">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须通过甲方认可</w:t>
            </w:r>
            <w:r>
              <w:rPr>
                <w:rFonts w:hint="default" w:ascii="仿宋_GB2312" w:hAnsi="仿宋" w:cs="Times New Roman"/>
                <w:color w:val="auto"/>
                <w:sz w:val="24"/>
                <w:szCs w:val="24"/>
                <w:u w:val="none"/>
              </w:rPr>
              <w:t>的</w:t>
            </w:r>
            <w:r>
              <w:rPr>
                <w:rFonts w:hint="eastAsia" w:ascii="仿宋_GB2312" w:hAnsi="仿宋" w:cs="Times New Roman"/>
                <w:color w:val="auto"/>
                <w:sz w:val="24"/>
                <w:szCs w:val="24"/>
                <w:u w:val="none"/>
              </w:rPr>
              <w:t>评审</w:t>
            </w:r>
          </w:p>
        </w:tc>
      </w:tr>
      <w:tr w14:paraId="1D33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74" w:type="dxa"/>
            <w:vAlign w:val="center"/>
          </w:tcPr>
          <w:p w14:paraId="1FEE63F3">
            <w:pPr>
              <w:keepNext w:val="0"/>
              <w:keepLines w:val="0"/>
              <w:numPr>
                <w:ilvl w:val="0"/>
                <w:numId w:val="6"/>
              </w:numPr>
              <w:suppressLineNumbers w:val="0"/>
              <w:spacing w:before="0" w:beforeAutospacing="0" w:after="0" w:afterAutospacing="0" w:line="300" w:lineRule="exact"/>
              <w:ind w:right="0" w:firstLineChars="0"/>
              <w:jc w:val="center"/>
              <w:rPr>
                <w:rFonts w:hint="default" w:ascii="仿宋_GB2312" w:hAnsi="仿宋" w:cs="Times New Roman"/>
                <w:color w:val="auto"/>
                <w:sz w:val="24"/>
                <w:u w:val="none"/>
              </w:rPr>
            </w:pPr>
          </w:p>
        </w:tc>
        <w:tc>
          <w:tcPr>
            <w:tcW w:w="3046" w:type="dxa"/>
            <w:vAlign w:val="center"/>
          </w:tcPr>
          <w:p w14:paraId="08217319">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r>
              <w:rPr>
                <w:rFonts w:hint="eastAsia" w:ascii="仿宋_GB2312" w:hAnsi="仿宋" w:cs="Times New Roman"/>
                <w:color w:val="auto"/>
                <w:sz w:val="24"/>
                <w:szCs w:val="24"/>
                <w:u w:val="none"/>
              </w:rPr>
              <w:t>质量保证</w:t>
            </w:r>
            <w:r>
              <w:rPr>
                <w:rFonts w:hint="default" w:ascii="仿宋_GB2312" w:hAnsi="仿宋" w:cs="Times New Roman"/>
                <w:color w:val="auto"/>
                <w:sz w:val="24"/>
                <w:szCs w:val="24"/>
                <w:u w:val="none"/>
              </w:rPr>
              <w:t>大纲</w:t>
            </w:r>
          </w:p>
        </w:tc>
        <w:tc>
          <w:tcPr>
            <w:tcW w:w="1278" w:type="dxa"/>
            <w:vAlign w:val="center"/>
          </w:tcPr>
          <w:p w14:paraId="135359DA">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文档</w:t>
            </w:r>
          </w:p>
        </w:tc>
        <w:tc>
          <w:tcPr>
            <w:tcW w:w="826" w:type="dxa"/>
            <w:vAlign w:val="center"/>
          </w:tcPr>
          <w:p w14:paraId="7D7BA51F">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default" w:ascii="仿宋_GB2312" w:hAnsi="仿宋" w:cs="Times New Roman"/>
                <w:color w:val="auto"/>
                <w:sz w:val="24"/>
                <w:szCs w:val="24"/>
                <w:u w:val="none"/>
              </w:rPr>
              <w:t>1</w:t>
            </w:r>
          </w:p>
        </w:tc>
        <w:tc>
          <w:tcPr>
            <w:tcW w:w="927" w:type="dxa"/>
            <w:vAlign w:val="center"/>
          </w:tcPr>
          <w:p w14:paraId="3E75F51F">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套</w:t>
            </w:r>
          </w:p>
        </w:tc>
        <w:tc>
          <w:tcPr>
            <w:tcW w:w="1445" w:type="dxa"/>
            <w:vAlign w:val="center"/>
          </w:tcPr>
          <w:p w14:paraId="75DA6AE8">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p>
        </w:tc>
      </w:tr>
      <w:tr w14:paraId="7522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74" w:type="dxa"/>
            <w:vAlign w:val="center"/>
          </w:tcPr>
          <w:p w14:paraId="7EA4491B">
            <w:pPr>
              <w:keepNext w:val="0"/>
              <w:keepLines w:val="0"/>
              <w:numPr>
                <w:ilvl w:val="0"/>
                <w:numId w:val="6"/>
              </w:numPr>
              <w:suppressLineNumbers w:val="0"/>
              <w:spacing w:before="0" w:beforeAutospacing="0" w:after="0" w:afterAutospacing="0" w:line="300" w:lineRule="exact"/>
              <w:ind w:right="0" w:firstLineChars="0"/>
              <w:jc w:val="center"/>
              <w:rPr>
                <w:rFonts w:hint="default" w:ascii="仿宋_GB2312" w:hAnsi="仿宋" w:cs="Times New Roman"/>
                <w:color w:val="auto"/>
                <w:sz w:val="24"/>
                <w:u w:val="none"/>
              </w:rPr>
            </w:pPr>
          </w:p>
        </w:tc>
        <w:tc>
          <w:tcPr>
            <w:tcW w:w="3046" w:type="dxa"/>
            <w:vAlign w:val="center"/>
          </w:tcPr>
          <w:p w14:paraId="3E5E6B78">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r>
              <w:rPr>
                <w:rFonts w:hint="eastAsia" w:ascii="仿宋_GB2312" w:hAnsi="仿宋" w:cs="Times New Roman"/>
                <w:color w:val="auto"/>
                <w:sz w:val="24"/>
                <w:szCs w:val="24"/>
                <w:u w:val="none"/>
              </w:rPr>
              <w:t>需求规格说明</w:t>
            </w:r>
          </w:p>
        </w:tc>
        <w:tc>
          <w:tcPr>
            <w:tcW w:w="1278" w:type="dxa"/>
            <w:vAlign w:val="center"/>
          </w:tcPr>
          <w:p w14:paraId="69C382F0">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文档</w:t>
            </w:r>
          </w:p>
        </w:tc>
        <w:tc>
          <w:tcPr>
            <w:tcW w:w="826" w:type="dxa"/>
            <w:vAlign w:val="center"/>
          </w:tcPr>
          <w:p w14:paraId="66908065">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default" w:ascii="仿宋_GB2312" w:hAnsi="仿宋" w:cs="Times New Roman"/>
                <w:color w:val="auto"/>
                <w:sz w:val="24"/>
                <w:szCs w:val="24"/>
                <w:u w:val="none"/>
              </w:rPr>
              <w:t>1</w:t>
            </w:r>
          </w:p>
        </w:tc>
        <w:tc>
          <w:tcPr>
            <w:tcW w:w="927" w:type="dxa"/>
            <w:vAlign w:val="center"/>
          </w:tcPr>
          <w:p w14:paraId="44456124">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套</w:t>
            </w:r>
          </w:p>
        </w:tc>
        <w:tc>
          <w:tcPr>
            <w:tcW w:w="1445" w:type="dxa"/>
            <w:vAlign w:val="center"/>
          </w:tcPr>
          <w:p w14:paraId="73A2F4C6">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须通过甲方认可</w:t>
            </w:r>
            <w:r>
              <w:rPr>
                <w:rFonts w:hint="default" w:ascii="仿宋_GB2312" w:hAnsi="仿宋" w:cs="Times New Roman"/>
                <w:color w:val="auto"/>
                <w:sz w:val="24"/>
                <w:szCs w:val="24"/>
                <w:u w:val="none"/>
              </w:rPr>
              <w:t>的</w:t>
            </w:r>
            <w:r>
              <w:rPr>
                <w:rFonts w:hint="eastAsia" w:ascii="仿宋_GB2312" w:hAnsi="仿宋" w:cs="Times New Roman"/>
                <w:color w:val="auto"/>
                <w:sz w:val="24"/>
                <w:szCs w:val="24"/>
                <w:u w:val="none"/>
              </w:rPr>
              <w:t>评审</w:t>
            </w:r>
          </w:p>
        </w:tc>
      </w:tr>
      <w:tr w14:paraId="7B1A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74" w:type="dxa"/>
            <w:vAlign w:val="center"/>
          </w:tcPr>
          <w:p w14:paraId="0D0E9876">
            <w:pPr>
              <w:keepNext w:val="0"/>
              <w:keepLines w:val="0"/>
              <w:numPr>
                <w:ilvl w:val="0"/>
                <w:numId w:val="6"/>
              </w:numPr>
              <w:suppressLineNumbers w:val="0"/>
              <w:spacing w:before="0" w:beforeAutospacing="0" w:after="0" w:afterAutospacing="0" w:line="300" w:lineRule="exact"/>
              <w:ind w:right="0" w:firstLineChars="0"/>
              <w:jc w:val="center"/>
              <w:rPr>
                <w:rFonts w:hint="default" w:ascii="仿宋_GB2312" w:hAnsi="仿宋" w:cs="Times New Roman"/>
                <w:color w:val="auto"/>
                <w:sz w:val="24"/>
                <w:u w:val="none"/>
              </w:rPr>
            </w:pPr>
          </w:p>
        </w:tc>
        <w:tc>
          <w:tcPr>
            <w:tcW w:w="3046" w:type="dxa"/>
            <w:vAlign w:val="center"/>
          </w:tcPr>
          <w:p w14:paraId="12BB5A28">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r>
              <w:rPr>
                <w:rFonts w:hint="eastAsia" w:ascii="仿宋_GB2312" w:hAnsi="仿宋" w:cs="Times New Roman"/>
                <w:color w:val="auto"/>
                <w:sz w:val="24"/>
                <w:szCs w:val="24"/>
                <w:u w:val="none"/>
              </w:rPr>
              <w:t>设计说明</w:t>
            </w:r>
          </w:p>
        </w:tc>
        <w:tc>
          <w:tcPr>
            <w:tcW w:w="1278" w:type="dxa"/>
            <w:vAlign w:val="center"/>
          </w:tcPr>
          <w:p w14:paraId="15BA56F6">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文档</w:t>
            </w:r>
          </w:p>
        </w:tc>
        <w:tc>
          <w:tcPr>
            <w:tcW w:w="826" w:type="dxa"/>
            <w:vAlign w:val="center"/>
          </w:tcPr>
          <w:p w14:paraId="66627816">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default" w:ascii="仿宋_GB2312" w:hAnsi="仿宋" w:cs="Times New Roman"/>
                <w:color w:val="auto"/>
                <w:sz w:val="24"/>
                <w:szCs w:val="24"/>
                <w:u w:val="none"/>
              </w:rPr>
              <w:t>1</w:t>
            </w:r>
          </w:p>
        </w:tc>
        <w:tc>
          <w:tcPr>
            <w:tcW w:w="927" w:type="dxa"/>
            <w:vAlign w:val="center"/>
          </w:tcPr>
          <w:p w14:paraId="1689F076">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套</w:t>
            </w:r>
          </w:p>
        </w:tc>
        <w:tc>
          <w:tcPr>
            <w:tcW w:w="1445" w:type="dxa"/>
            <w:vAlign w:val="center"/>
          </w:tcPr>
          <w:p w14:paraId="3FDD949B">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须通过甲方认可</w:t>
            </w:r>
            <w:r>
              <w:rPr>
                <w:rFonts w:hint="default" w:ascii="仿宋_GB2312" w:hAnsi="仿宋" w:cs="Times New Roman"/>
                <w:color w:val="auto"/>
                <w:sz w:val="24"/>
                <w:szCs w:val="24"/>
                <w:u w:val="none"/>
              </w:rPr>
              <w:t>的</w:t>
            </w:r>
            <w:r>
              <w:rPr>
                <w:rFonts w:hint="eastAsia" w:ascii="仿宋_GB2312" w:hAnsi="仿宋" w:cs="Times New Roman"/>
                <w:color w:val="auto"/>
                <w:sz w:val="24"/>
                <w:szCs w:val="24"/>
                <w:u w:val="none"/>
              </w:rPr>
              <w:t>评审</w:t>
            </w:r>
          </w:p>
        </w:tc>
      </w:tr>
      <w:tr w14:paraId="14F5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74" w:type="dxa"/>
            <w:vAlign w:val="center"/>
          </w:tcPr>
          <w:p w14:paraId="48766961">
            <w:pPr>
              <w:keepNext w:val="0"/>
              <w:keepLines w:val="0"/>
              <w:numPr>
                <w:ilvl w:val="0"/>
                <w:numId w:val="6"/>
              </w:numPr>
              <w:suppressLineNumbers w:val="0"/>
              <w:spacing w:before="0" w:beforeAutospacing="0" w:after="0" w:afterAutospacing="0" w:line="300" w:lineRule="exact"/>
              <w:ind w:right="0" w:firstLineChars="0"/>
              <w:jc w:val="center"/>
              <w:rPr>
                <w:rFonts w:hint="default" w:ascii="仿宋_GB2312" w:hAnsi="仿宋" w:cs="Times New Roman"/>
                <w:color w:val="auto"/>
                <w:sz w:val="24"/>
                <w:u w:val="none"/>
              </w:rPr>
            </w:pPr>
          </w:p>
        </w:tc>
        <w:tc>
          <w:tcPr>
            <w:tcW w:w="3046" w:type="dxa"/>
            <w:vAlign w:val="center"/>
          </w:tcPr>
          <w:p w14:paraId="189F30F1">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r>
              <w:rPr>
                <w:rFonts w:hint="eastAsia" w:ascii="仿宋_GB2312" w:hAnsi="仿宋" w:cs="Times New Roman"/>
                <w:color w:val="auto"/>
                <w:sz w:val="24"/>
                <w:szCs w:val="24"/>
                <w:u w:val="none"/>
              </w:rPr>
              <w:t>测试大纲</w:t>
            </w:r>
          </w:p>
        </w:tc>
        <w:tc>
          <w:tcPr>
            <w:tcW w:w="1278" w:type="dxa"/>
            <w:vAlign w:val="center"/>
          </w:tcPr>
          <w:p w14:paraId="77B4ECA7">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文档</w:t>
            </w:r>
          </w:p>
        </w:tc>
        <w:tc>
          <w:tcPr>
            <w:tcW w:w="826" w:type="dxa"/>
            <w:vAlign w:val="center"/>
          </w:tcPr>
          <w:p w14:paraId="5F3C2075">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default" w:ascii="仿宋_GB2312" w:hAnsi="仿宋" w:cs="Times New Roman"/>
                <w:color w:val="auto"/>
                <w:sz w:val="24"/>
                <w:szCs w:val="24"/>
                <w:u w:val="none"/>
              </w:rPr>
              <w:t>1</w:t>
            </w:r>
          </w:p>
        </w:tc>
        <w:tc>
          <w:tcPr>
            <w:tcW w:w="927" w:type="dxa"/>
            <w:vAlign w:val="center"/>
          </w:tcPr>
          <w:p w14:paraId="4B1A4DF5">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套</w:t>
            </w:r>
          </w:p>
        </w:tc>
        <w:tc>
          <w:tcPr>
            <w:tcW w:w="1445" w:type="dxa"/>
            <w:vAlign w:val="center"/>
          </w:tcPr>
          <w:p w14:paraId="2EE87F37">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须通过甲方认可</w:t>
            </w:r>
            <w:r>
              <w:rPr>
                <w:rFonts w:hint="default" w:ascii="仿宋_GB2312" w:hAnsi="仿宋" w:cs="Times New Roman"/>
                <w:color w:val="auto"/>
                <w:sz w:val="24"/>
                <w:szCs w:val="24"/>
                <w:u w:val="none"/>
              </w:rPr>
              <w:t>的</w:t>
            </w:r>
            <w:r>
              <w:rPr>
                <w:rFonts w:hint="eastAsia" w:ascii="仿宋_GB2312" w:hAnsi="仿宋" w:cs="Times New Roman"/>
                <w:color w:val="auto"/>
                <w:sz w:val="24"/>
                <w:szCs w:val="24"/>
                <w:u w:val="none"/>
              </w:rPr>
              <w:t>评审</w:t>
            </w:r>
          </w:p>
        </w:tc>
      </w:tr>
      <w:tr w14:paraId="61AB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74" w:type="dxa"/>
            <w:vAlign w:val="center"/>
          </w:tcPr>
          <w:p w14:paraId="672A1358">
            <w:pPr>
              <w:keepNext w:val="0"/>
              <w:keepLines w:val="0"/>
              <w:numPr>
                <w:ilvl w:val="0"/>
                <w:numId w:val="6"/>
              </w:numPr>
              <w:suppressLineNumbers w:val="0"/>
              <w:spacing w:before="0" w:beforeAutospacing="0" w:after="0" w:afterAutospacing="0" w:line="300" w:lineRule="exact"/>
              <w:ind w:right="0" w:firstLineChars="0"/>
              <w:jc w:val="center"/>
              <w:rPr>
                <w:rFonts w:hint="default" w:ascii="仿宋_GB2312" w:hAnsi="仿宋" w:cs="Times New Roman"/>
                <w:color w:val="auto"/>
                <w:sz w:val="24"/>
                <w:u w:val="none"/>
              </w:rPr>
            </w:pPr>
          </w:p>
        </w:tc>
        <w:tc>
          <w:tcPr>
            <w:tcW w:w="3046" w:type="dxa"/>
            <w:vAlign w:val="center"/>
          </w:tcPr>
          <w:p w14:paraId="4531AFEA">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r>
              <w:rPr>
                <w:rFonts w:hint="eastAsia" w:ascii="仿宋_GB2312" w:hAnsi="仿宋" w:cs="Times New Roman"/>
                <w:color w:val="auto"/>
                <w:sz w:val="24"/>
                <w:szCs w:val="24"/>
                <w:u w:val="none"/>
              </w:rPr>
              <w:t>测试报告</w:t>
            </w:r>
          </w:p>
        </w:tc>
        <w:tc>
          <w:tcPr>
            <w:tcW w:w="1278" w:type="dxa"/>
            <w:vAlign w:val="center"/>
          </w:tcPr>
          <w:p w14:paraId="419AD206">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文档</w:t>
            </w:r>
          </w:p>
        </w:tc>
        <w:tc>
          <w:tcPr>
            <w:tcW w:w="826" w:type="dxa"/>
            <w:vAlign w:val="center"/>
          </w:tcPr>
          <w:p w14:paraId="180226A3">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default" w:ascii="仿宋_GB2312" w:hAnsi="仿宋" w:cs="Times New Roman"/>
                <w:color w:val="auto"/>
                <w:sz w:val="24"/>
                <w:szCs w:val="24"/>
                <w:u w:val="none"/>
              </w:rPr>
              <w:t>1</w:t>
            </w:r>
          </w:p>
        </w:tc>
        <w:tc>
          <w:tcPr>
            <w:tcW w:w="927" w:type="dxa"/>
            <w:vAlign w:val="center"/>
          </w:tcPr>
          <w:p w14:paraId="420DC79B">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套</w:t>
            </w:r>
          </w:p>
        </w:tc>
        <w:tc>
          <w:tcPr>
            <w:tcW w:w="1445" w:type="dxa"/>
            <w:vAlign w:val="center"/>
          </w:tcPr>
          <w:p w14:paraId="5EB60850">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第</w:t>
            </w:r>
            <w:r>
              <w:rPr>
                <w:rFonts w:hint="default" w:ascii="仿宋_GB2312" w:hAnsi="仿宋" w:cs="Times New Roman"/>
                <w:color w:val="auto"/>
                <w:sz w:val="24"/>
                <w:szCs w:val="24"/>
                <w:u w:val="none"/>
              </w:rPr>
              <w:t>三方</w:t>
            </w:r>
            <w:r>
              <w:rPr>
                <w:rFonts w:hint="eastAsia" w:ascii="仿宋_GB2312" w:hAnsi="仿宋" w:cs="Times New Roman"/>
                <w:color w:val="auto"/>
                <w:sz w:val="24"/>
                <w:szCs w:val="24"/>
                <w:u w:val="none"/>
              </w:rPr>
              <w:t>提供</w:t>
            </w:r>
          </w:p>
        </w:tc>
      </w:tr>
      <w:tr w14:paraId="796F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74" w:type="dxa"/>
            <w:vAlign w:val="center"/>
          </w:tcPr>
          <w:p w14:paraId="57D87482">
            <w:pPr>
              <w:keepNext w:val="0"/>
              <w:keepLines w:val="0"/>
              <w:numPr>
                <w:ilvl w:val="0"/>
                <w:numId w:val="6"/>
              </w:numPr>
              <w:suppressLineNumbers w:val="0"/>
              <w:spacing w:before="0" w:beforeAutospacing="0" w:after="0" w:afterAutospacing="0" w:line="300" w:lineRule="exact"/>
              <w:ind w:right="0" w:firstLineChars="0"/>
              <w:jc w:val="center"/>
              <w:rPr>
                <w:rFonts w:hint="default" w:ascii="仿宋_GB2312" w:hAnsi="仿宋" w:cs="Times New Roman"/>
                <w:color w:val="auto"/>
                <w:sz w:val="24"/>
                <w:u w:val="none"/>
              </w:rPr>
            </w:pPr>
          </w:p>
        </w:tc>
        <w:tc>
          <w:tcPr>
            <w:tcW w:w="3046" w:type="dxa"/>
            <w:vAlign w:val="center"/>
          </w:tcPr>
          <w:p w14:paraId="206810AD">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r>
              <w:rPr>
                <w:rFonts w:hint="eastAsia" w:ascii="仿宋_GB2312" w:hAnsi="仿宋" w:cs="Times New Roman"/>
                <w:color w:val="auto"/>
                <w:sz w:val="24"/>
                <w:szCs w:val="24"/>
                <w:u w:val="none"/>
              </w:rPr>
              <w:t>用户试用报告</w:t>
            </w:r>
          </w:p>
        </w:tc>
        <w:tc>
          <w:tcPr>
            <w:tcW w:w="1278" w:type="dxa"/>
            <w:vAlign w:val="center"/>
          </w:tcPr>
          <w:p w14:paraId="241491F8">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文档</w:t>
            </w:r>
          </w:p>
        </w:tc>
        <w:tc>
          <w:tcPr>
            <w:tcW w:w="826" w:type="dxa"/>
            <w:vAlign w:val="center"/>
          </w:tcPr>
          <w:p w14:paraId="49E18A5E">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default" w:ascii="仿宋_GB2312" w:hAnsi="仿宋" w:cs="Times New Roman"/>
                <w:color w:val="auto"/>
                <w:sz w:val="24"/>
                <w:szCs w:val="24"/>
                <w:u w:val="none"/>
              </w:rPr>
              <w:t>1</w:t>
            </w:r>
          </w:p>
        </w:tc>
        <w:tc>
          <w:tcPr>
            <w:tcW w:w="927" w:type="dxa"/>
            <w:vAlign w:val="center"/>
          </w:tcPr>
          <w:p w14:paraId="15189CCF">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套</w:t>
            </w:r>
          </w:p>
        </w:tc>
        <w:tc>
          <w:tcPr>
            <w:tcW w:w="1445" w:type="dxa"/>
            <w:vAlign w:val="center"/>
          </w:tcPr>
          <w:p w14:paraId="78DE4126">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p>
        </w:tc>
      </w:tr>
      <w:tr w14:paraId="0B38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74" w:type="dxa"/>
            <w:vAlign w:val="center"/>
          </w:tcPr>
          <w:p w14:paraId="1BE43C63">
            <w:pPr>
              <w:keepNext w:val="0"/>
              <w:keepLines w:val="0"/>
              <w:numPr>
                <w:ilvl w:val="0"/>
                <w:numId w:val="6"/>
              </w:numPr>
              <w:suppressLineNumbers w:val="0"/>
              <w:spacing w:before="0" w:beforeAutospacing="0" w:after="0" w:afterAutospacing="0" w:line="300" w:lineRule="exact"/>
              <w:ind w:right="0" w:firstLineChars="0"/>
              <w:jc w:val="center"/>
              <w:rPr>
                <w:rFonts w:hint="default" w:ascii="仿宋_GB2312" w:hAnsi="仿宋" w:cs="Times New Roman"/>
                <w:color w:val="auto"/>
                <w:sz w:val="24"/>
                <w:u w:val="none"/>
              </w:rPr>
            </w:pPr>
          </w:p>
        </w:tc>
        <w:tc>
          <w:tcPr>
            <w:tcW w:w="3046" w:type="dxa"/>
            <w:vAlign w:val="center"/>
          </w:tcPr>
          <w:p w14:paraId="510536DB">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r>
              <w:rPr>
                <w:rFonts w:hint="eastAsia" w:ascii="仿宋_GB2312" w:hAnsi="仿宋" w:cs="Times New Roman"/>
                <w:color w:val="auto"/>
                <w:sz w:val="24"/>
                <w:szCs w:val="24"/>
                <w:u w:val="none"/>
              </w:rPr>
              <w:t>用户手册</w:t>
            </w:r>
          </w:p>
        </w:tc>
        <w:tc>
          <w:tcPr>
            <w:tcW w:w="1278" w:type="dxa"/>
            <w:vAlign w:val="center"/>
          </w:tcPr>
          <w:p w14:paraId="022ACAAD">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文档</w:t>
            </w:r>
          </w:p>
        </w:tc>
        <w:tc>
          <w:tcPr>
            <w:tcW w:w="826" w:type="dxa"/>
            <w:vAlign w:val="center"/>
          </w:tcPr>
          <w:p w14:paraId="3520CCB9">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default" w:ascii="仿宋_GB2312" w:hAnsi="仿宋" w:cs="Times New Roman"/>
                <w:color w:val="auto"/>
                <w:sz w:val="24"/>
                <w:szCs w:val="24"/>
                <w:u w:val="none"/>
              </w:rPr>
              <w:t>1</w:t>
            </w:r>
          </w:p>
        </w:tc>
        <w:tc>
          <w:tcPr>
            <w:tcW w:w="927" w:type="dxa"/>
            <w:vAlign w:val="center"/>
          </w:tcPr>
          <w:p w14:paraId="27366509">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套</w:t>
            </w:r>
          </w:p>
        </w:tc>
        <w:tc>
          <w:tcPr>
            <w:tcW w:w="1445" w:type="dxa"/>
            <w:vAlign w:val="center"/>
          </w:tcPr>
          <w:p w14:paraId="4FB5EDA5">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p>
        </w:tc>
      </w:tr>
      <w:tr w14:paraId="125D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74" w:type="dxa"/>
            <w:vAlign w:val="center"/>
          </w:tcPr>
          <w:p w14:paraId="16F7397D">
            <w:pPr>
              <w:keepNext w:val="0"/>
              <w:keepLines w:val="0"/>
              <w:numPr>
                <w:ilvl w:val="0"/>
                <w:numId w:val="6"/>
              </w:numPr>
              <w:suppressLineNumbers w:val="0"/>
              <w:spacing w:before="0" w:beforeAutospacing="0" w:after="0" w:afterAutospacing="0" w:line="300" w:lineRule="exact"/>
              <w:ind w:right="0" w:firstLineChars="0"/>
              <w:jc w:val="center"/>
              <w:rPr>
                <w:rFonts w:hint="default" w:ascii="仿宋_GB2312" w:hAnsi="仿宋" w:cs="Times New Roman"/>
                <w:color w:val="auto"/>
                <w:sz w:val="24"/>
                <w:u w:val="none"/>
              </w:rPr>
            </w:pPr>
          </w:p>
        </w:tc>
        <w:tc>
          <w:tcPr>
            <w:tcW w:w="3046" w:type="dxa"/>
            <w:vAlign w:val="center"/>
          </w:tcPr>
          <w:p w14:paraId="3AAEF5A1">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r>
              <w:rPr>
                <w:rFonts w:hint="eastAsia" w:ascii="仿宋_GB2312" w:hAnsi="仿宋" w:cs="Times New Roman"/>
                <w:color w:val="auto"/>
                <w:sz w:val="24"/>
                <w:szCs w:val="24"/>
                <w:u w:val="none"/>
              </w:rPr>
              <w:t>质量证明</w:t>
            </w:r>
          </w:p>
        </w:tc>
        <w:tc>
          <w:tcPr>
            <w:tcW w:w="1278" w:type="dxa"/>
            <w:vAlign w:val="center"/>
          </w:tcPr>
          <w:p w14:paraId="2FE2A9AA">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文档</w:t>
            </w:r>
          </w:p>
        </w:tc>
        <w:tc>
          <w:tcPr>
            <w:tcW w:w="826" w:type="dxa"/>
            <w:vAlign w:val="center"/>
          </w:tcPr>
          <w:p w14:paraId="7C954480">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default" w:ascii="仿宋_GB2312" w:hAnsi="仿宋" w:cs="Times New Roman"/>
                <w:color w:val="auto"/>
                <w:sz w:val="24"/>
                <w:szCs w:val="24"/>
                <w:u w:val="none"/>
              </w:rPr>
              <w:t>1</w:t>
            </w:r>
          </w:p>
        </w:tc>
        <w:tc>
          <w:tcPr>
            <w:tcW w:w="927" w:type="dxa"/>
            <w:vAlign w:val="center"/>
          </w:tcPr>
          <w:p w14:paraId="14B9A210">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套</w:t>
            </w:r>
          </w:p>
        </w:tc>
        <w:tc>
          <w:tcPr>
            <w:tcW w:w="1445" w:type="dxa"/>
            <w:vAlign w:val="center"/>
          </w:tcPr>
          <w:p w14:paraId="0E70EBA3">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p>
        </w:tc>
      </w:tr>
      <w:tr w14:paraId="74AA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74" w:type="dxa"/>
            <w:vAlign w:val="center"/>
          </w:tcPr>
          <w:p w14:paraId="58F95AD6">
            <w:pPr>
              <w:keepNext w:val="0"/>
              <w:keepLines w:val="0"/>
              <w:numPr>
                <w:ilvl w:val="0"/>
                <w:numId w:val="6"/>
              </w:numPr>
              <w:suppressLineNumbers w:val="0"/>
              <w:spacing w:before="0" w:beforeAutospacing="0" w:after="0" w:afterAutospacing="0" w:line="300" w:lineRule="exact"/>
              <w:ind w:right="0" w:firstLineChars="0"/>
              <w:jc w:val="center"/>
              <w:rPr>
                <w:rFonts w:hint="default" w:ascii="仿宋_GB2312" w:hAnsi="仿宋" w:cs="Times New Roman"/>
                <w:color w:val="auto"/>
                <w:sz w:val="24"/>
                <w:u w:val="none"/>
              </w:rPr>
            </w:pPr>
          </w:p>
        </w:tc>
        <w:tc>
          <w:tcPr>
            <w:tcW w:w="3046" w:type="dxa"/>
            <w:vAlign w:val="center"/>
          </w:tcPr>
          <w:p w14:paraId="0396FB39">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r>
              <w:rPr>
                <w:rFonts w:hint="eastAsia" w:ascii="仿宋_GB2312" w:hAnsi="仿宋" w:cs="Times New Roman"/>
                <w:color w:val="auto"/>
                <w:sz w:val="24"/>
                <w:szCs w:val="24"/>
                <w:u w:val="none"/>
              </w:rPr>
              <w:t>项目研制总结报告</w:t>
            </w:r>
          </w:p>
        </w:tc>
        <w:tc>
          <w:tcPr>
            <w:tcW w:w="1278" w:type="dxa"/>
            <w:vAlign w:val="center"/>
          </w:tcPr>
          <w:p w14:paraId="0FCDAD9E">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文档</w:t>
            </w:r>
          </w:p>
        </w:tc>
        <w:tc>
          <w:tcPr>
            <w:tcW w:w="826" w:type="dxa"/>
            <w:vAlign w:val="center"/>
          </w:tcPr>
          <w:p w14:paraId="05A0BE58">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default" w:ascii="仿宋_GB2312" w:hAnsi="仿宋" w:cs="Times New Roman"/>
                <w:color w:val="auto"/>
                <w:sz w:val="24"/>
                <w:szCs w:val="24"/>
                <w:u w:val="none"/>
              </w:rPr>
              <w:t>1</w:t>
            </w:r>
          </w:p>
        </w:tc>
        <w:tc>
          <w:tcPr>
            <w:tcW w:w="927" w:type="dxa"/>
            <w:vAlign w:val="center"/>
          </w:tcPr>
          <w:p w14:paraId="16E30448">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szCs w:val="24"/>
                <w:u w:val="none"/>
              </w:rPr>
              <w:t>套</w:t>
            </w:r>
          </w:p>
        </w:tc>
        <w:tc>
          <w:tcPr>
            <w:tcW w:w="1445" w:type="dxa"/>
            <w:vAlign w:val="center"/>
          </w:tcPr>
          <w:p w14:paraId="2A9F30F8">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p>
        </w:tc>
      </w:tr>
      <w:tr w14:paraId="49CB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296" w:type="dxa"/>
            <w:gridSpan w:val="6"/>
            <w:vAlign w:val="center"/>
          </w:tcPr>
          <w:p w14:paraId="40B8C10C">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r>
              <w:rPr>
                <w:rFonts w:hint="eastAsia" w:ascii="仿宋_GB2312" w:hAnsi="仿宋" w:cs="Times New Roman"/>
                <w:color w:val="auto"/>
                <w:sz w:val="24"/>
                <w:u w:val="none"/>
              </w:rPr>
              <w:t>二</w:t>
            </w:r>
            <w:r>
              <w:rPr>
                <w:rFonts w:hint="default" w:ascii="仿宋_GB2312" w:hAnsi="仿宋" w:cs="Times New Roman"/>
                <w:color w:val="auto"/>
                <w:sz w:val="24"/>
                <w:u w:val="none"/>
              </w:rPr>
              <w:t>、</w:t>
            </w:r>
            <w:r>
              <w:rPr>
                <w:rFonts w:hint="eastAsia" w:ascii="仿宋_GB2312" w:hAnsi="仿宋" w:cs="Times New Roman"/>
                <w:color w:val="auto"/>
                <w:sz w:val="24"/>
                <w:u w:val="none"/>
              </w:rPr>
              <w:t>软件类</w:t>
            </w:r>
          </w:p>
        </w:tc>
      </w:tr>
      <w:tr w14:paraId="4075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74" w:type="dxa"/>
            <w:vAlign w:val="center"/>
          </w:tcPr>
          <w:p w14:paraId="4D525DA3">
            <w:pPr>
              <w:keepNext w:val="0"/>
              <w:keepLines w:val="0"/>
              <w:numPr>
                <w:ilvl w:val="0"/>
                <w:numId w:val="6"/>
              </w:numPr>
              <w:suppressLineNumbers w:val="0"/>
              <w:spacing w:before="0" w:beforeAutospacing="0" w:after="0" w:afterAutospacing="0" w:line="300" w:lineRule="exact"/>
              <w:ind w:right="0" w:firstLineChars="0"/>
              <w:jc w:val="center"/>
              <w:rPr>
                <w:rFonts w:hint="default" w:ascii="仿宋_GB2312" w:hAnsi="仿宋" w:cs="Times New Roman"/>
                <w:color w:val="auto"/>
                <w:sz w:val="24"/>
                <w:u w:val="none"/>
              </w:rPr>
            </w:pPr>
          </w:p>
        </w:tc>
        <w:tc>
          <w:tcPr>
            <w:tcW w:w="3046" w:type="dxa"/>
            <w:vAlign w:val="center"/>
          </w:tcPr>
          <w:p w14:paraId="18BF2D9D">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r>
              <w:rPr>
                <w:rFonts w:hint="eastAsia" w:ascii="仿宋_GB2312" w:hAnsi="仿宋" w:cs="Times New Roman"/>
                <w:color w:val="auto"/>
                <w:sz w:val="24"/>
                <w:u w:val="none"/>
              </w:rPr>
              <w:t>科研信息服务平台</w:t>
            </w:r>
          </w:p>
        </w:tc>
        <w:tc>
          <w:tcPr>
            <w:tcW w:w="1278" w:type="dxa"/>
            <w:vAlign w:val="center"/>
          </w:tcPr>
          <w:p w14:paraId="43DA419B">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u w:val="none"/>
              </w:rPr>
              <w:t>软件</w:t>
            </w:r>
          </w:p>
        </w:tc>
        <w:tc>
          <w:tcPr>
            <w:tcW w:w="826" w:type="dxa"/>
            <w:vAlign w:val="center"/>
          </w:tcPr>
          <w:p w14:paraId="206345F7">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u w:val="none"/>
              </w:rPr>
              <w:t>1</w:t>
            </w:r>
          </w:p>
        </w:tc>
        <w:tc>
          <w:tcPr>
            <w:tcW w:w="927" w:type="dxa"/>
            <w:vAlign w:val="center"/>
          </w:tcPr>
          <w:p w14:paraId="2DC9A5C3">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u w:val="none"/>
              </w:rPr>
              <w:t>套</w:t>
            </w:r>
          </w:p>
        </w:tc>
        <w:tc>
          <w:tcPr>
            <w:tcW w:w="1445" w:type="dxa"/>
            <w:vAlign w:val="center"/>
          </w:tcPr>
          <w:p w14:paraId="6D4CC01B">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p>
        </w:tc>
      </w:tr>
      <w:tr w14:paraId="58C4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74" w:type="dxa"/>
            <w:vAlign w:val="center"/>
          </w:tcPr>
          <w:p w14:paraId="5AE2F2C7">
            <w:pPr>
              <w:keepNext w:val="0"/>
              <w:keepLines w:val="0"/>
              <w:numPr>
                <w:ilvl w:val="0"/>
                <w:numId w:val="6"/>
              </w:numPr>
              <w:suppressLineNumbers w:val="0"/>
              <w:spacing w:before="0" w:beforeAutospacing="0" w:after="0" w:afterAutospacing="0" w:line="300" w:lineRule="exact"/>
              <w:ind w:right="0" w:firstLineChars="0"/>
              <w:jc w:val="center"/>
              <w:rPr>
                <w:rFonts w:hint="default" w:ascii="仿宋_GB2312" w:hAnsi="仿宋" w:cs="Times New Roman"/>
                <w:color w:val="auto"/>
                <w:sz w:val="24"/>
                <w:u w:val="none"/>
              </w:rPr>
            </w:pPr>
          </w:p>
        </w:tc>
        <w:tc>
          <w:tcPr>
            <w:tcW w:w="3046" w:type="dxa"/>
            <w:vAlign w:val="center"/>
          </w:tcPr>
          <w:p w14:paraId="3012170B">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r>
              <w:rPr>
                <w:rFonts w:hint="eastAsia" w:ascii="仿宋_GB2312" w:hAnsi="仿宋" w:cs="Times New Roman"/>
                <w:color w:val="auto"/>
                <w:sz w:val="24"/>
                <w:u w:val="none"/>
              </w:rPr>
              <w:t>科研信息服务平台源代码</w:t>
            </w:r>
          </w:p>
        </w:tc>
        <w:tc>
          <w:tcPr>
            <w:tcW w:w="1278" w:type="dxa"/>
            <w:vAlign w:val="center"/>
          </w:tcPr>
          <w:p w14:paraId="2B03C864">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u w:val="none"/>
              </w:rPr>
              <w:t>代码</w:t>
            </w:r>
          </w:p>
        </w:tc>
        <w:tc>
          <w:tcPr>
            <w:tcW w:w="826" w:type="dxa"/>
            <w:vAlign w:val="center"/>
          </w:tcPr>
          <w:p w14:paraId="0159DCEF">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u w:val="none"/>
              </w:rPr>
              <w:t>1</w:t>
            </w:r>
          </w:p>
        </w:tc>
        <w:tc>
          <w:tcPr>
            <w:tcW w:w="927" w:type="dxa"/>
            <w:vAlign w:val="center"/>
          </w:tcPr>
          <w:p w14:paraId="051C3DD9">
            <w:pPr>
              <w:keepNext w:val="0"/>
              <w:keepLines w:val="0"/>
              <w:suppressLineNumbers w:val="0"/>
              <w:spacing w:before="0" w:beforeAutospacing="0" w:after="0" w:afterAutospacing="0" w:line="300" w:lineRule="exact"/>
              <w:ind w:left="0" w:right="0" w:firstLine="0" w:firstLineChars="0"/>
              <w:jc w:val="center"/>
              <w:rPr>
                <w:rFonts w:hint="default" w:ascii="仿宋_GB2312" w:hAnsi="仿宋" w:cs="Times New Roman"/>
                <w:color w:val="auto"/>
                <w:sz w:val="24"/>
                <w:u w:val="none"/>
              </w:rPr>
            </w:pPr>
            <w:r>
              <w:rPr>
                <w:rFonts w:hint="eastAsia" w:ascii="仿宋_GB2312" w:hAnsi="仿宋" w:cs="Times New Roman"/>
                <w:color w:val="auto"/>
                <w:sz w:val="24"/>
                <w:u w:val="none"/>
              </w:rPr>
              <w:t>套</w:t>
            </w:r>
          </w:p>
        </w:tc>
        <w:tc>
          <w:tcPr>
            <w:tcW w:w="1445" w:type="dxa"/>
            <w:vAlign w:val="center"/>
          </w:tcPr>
          <w:p w14:paraId="68DE3A4C">
            <w:pPr>
              <w:keepNext w:val="0"/>
              <w:keepLines w:val="0"/>
              <w:suppressLineNumbers w:val="0"/>
              <w:spacing w:before="0" w:beforeAutospacing="0" w:after="0" w:afterAutospacing="0" w:line="300" w:lineRule="exact"/>
              <w:ind w:left="0" w:right="0" w:firstLine="0" w:firstLineChars="0"/>
              <w:rPr>
                <w:rFonts w:hint="default" w:ascii="仿宋_GB2312" w:hAnsi="仿宋" w:cs="Times New Roman"/>
                <w:color w:val="auto"/>
                <w:sz w:val="24"/>
                <w:u w:val="none"/>
              </w:rPr>
            </w:pPr>
          </w:p>
        </w:tc>
      </w:tr>
    </w:tbl>
    <w:p w14:paraId="085DC521">
      <w:pPr>
        <w:pStyle w:val="3"/>
        <w:numPr>
          <w:ilvl w:val="255"/>
          <w:numId w:val="0"/>
        </w:numPr>
        <w:ind w:left="640" w:leftChars="200"/>
        <w:rPr>
          <w:color w:val="auto"/>
          <w:u w:val="none"/>
        </w:rPr>
      </w:pPr>
      <w:r>
        <w:rPr>
          <w:rFonts w:hint="eastAsia"/>
          <w:color w:val="auto"/>
          <w:u w:val="none"/>
        </w:rPr>
        <w:t>（二）交付时间、地点与方式</w:t>
      </w:r>
    </w:p>
    <w:p w14:paraId="5EBE5273">
      <w:pPr>
        <w:rPr>
          <w:rFonts w:ascii="仿宋_GB2312" w:hAnsi="仿宋_GB2312" w:cs="仿宋_GB2312"/>
          <w:color w:val="auto"/>
          <w:szCs w:val="32"/>
          <w:u w:val="none"/>
        </w:rPr>
      </w:pPr>
      <w:r>
        <w:rPr>
          <w:rFonts w:hint="eastAsia" w:ascii="仿宋_GB2312" w:hAnsi="仿宋_GB2312" w:cs="仿宋_GB2312"/>
          <w:color w:val="auto"/>
          <w:szCs w:val="32"/>
          <w:u w:val="none"/>
        </w:rPr>
        <w:t>1．交付时间：乙方需在合同签订后9个月内完成软件系统的研制开发、测试和安装调试；</w:t>
      </w:r>
    </w:p>
    <w:p w14:paraId="37582D95">
      <w:pPr>
        <w:rPr>
          <w:rFonts w:ascii="仿宋_GB2312" w:hAnsi="仿宋_GB2312" w:cs="仿宋_GB2312"/>
          <w:color w:val="auto"/>
          <w:szCs w:val="32"/>
          <w:u w:val="none"/>
        </w:rPr>
      </w:pPr>
      <w:r>
        <w:rPr>
          <w:rFonts w:hint="eastAsia" w:ascii="仿宋_GB2312" w:hAnsi="仿宋_GB2312" w:cs="仿宋_GB2312"/>
          <w:color w:val="auto"/>
          <w:szCs w:val="32"/>
          <w:u w:val="none"/>
        </w:rPr>
        <w:t>2．交付地点与方式：本项目乙方负责在甲方指定地点完成系统交付和安装部署。</w:t>
      </w:r>
    </w:p>
    <w:p w14:paraId="19066C77">
      <w:pPr>
        <w:pStyle w:val="2"/>
        <w:rPr>
          <w:color w:val="auto"/>
          <w:u w:val="none"/>
        </w:rPr>
      </w:pPr>
      <w:r>
        <w:rPr>
          <w:rFonts w:hint="eastAsia"/>
          <w:color w:val="auto"/>
          <w:u w:val="none"/>
        </w:rPr>
        <w:t>三、</w:t>
      </w:r>
      <w:r>
        <w:rPr>
          <w:color w:val="auto"/>
          <w:u w:val="none"/>
        </w:rPr>
        <w:t>付款方式和条件</w:t>
      </w:r>
    </w:p>
    <w:p w14:paraId="13CB866B">
      <w:pPr>
        <w:spacing w:line="560" w:lineRule="exact"/>
        <w:ind w:firstLine="960" w:firstLineChars="300"/>
        <w:rPr>
          <w:rFonts w:ascii="仿宋_GB2312" w:hAnsi="宋体" w:cs="Times New Roman"/>
          <w:color w:val="auto"/>
          <w:kern w:val="0"/>
          <w:szCs w:val="32"/>
          <w:u w:val="none"/>
        </w:rPr>
      </w:pPr>
      <w:r>
        <w:rPr>
          <w:rFonts w:hint="eastAsia" w:ascii="仿宋_GB2312" w:hAnsi="宋体" w:cs="Times New Roman"/>
          <w:color w:val="auto"/>
          <w:kern w:val="0"/>
          <w:szCs w:val="32"/>
          <w:u w:val="none"/>
        </w:rPr>
        <w:t>甲方在合同签订后支付合同额的30%；乙方提交《软件需求规格说明》、《软件技术方案》及《软件设计说明》等材料，通过甲方组织的评审，甲方支付合同额的40%；乙方完成软件开发，提交测试报告，完成软件部署和培训，提交合同验收相关材料，通过甲方组织的合同验收，甲方支付合同金额的25%；预留合同总金额的5%作为质量保证金，项目质保期结束后一次性付清。</w:t>
      </w:r>
    </w:p>
    <w:p w14:paraId="46B15684">
      <w:pPr>
        <w:pStyle w:val="2"/>
        <w:rPr>
          <w:color w:val="auto"/>
          <w:u w:val="none"/>
        </w:rPr>
      </w:pPr>
      <w:r>
        <w:rPr>
          <w:rFonts w:hint="eastAsia"/>
          <w:color w:val="auto"/>
          <w:u w:val="none"/>
        </w:rPr>
        <w:t>四、售后、培训要求</w:t>
      </w:r>
    </w:p>
    <w:p w14:paraId="178F9265">
      <w:pPr>
        <w:rPr>
          <w:rFonts w:ascii="楷体_GB2312" w:eastAsia="楷体_GB2312"/>
          <w:color w:val="auto"/>
          <w:u w:val="none"/>
        </w:rPr>
      </w:pPr>
      <w:bookmarkStart w:id="38" w:name="_bookmark30"/>
      <w:bookmarkEnd w:id="38"/>
      <w:bookmarkStart w:id="39" w:name="7.2.3基本服务策略"/>
      <w:bookmarkEnd w:id="39"/>
      <w:bookmarkStart w:id="40" w:name="_bookmark29"/>
      <w:bookmarkEnd w:id="40"/>
      <w:bookmarkStart w:id="41" w:name="7.2.2基本服务原则"/>
      <w:bookmarkEnd w:id="41"/>
      <w:r>
        <w:rPr>
          <w:rFonts w:hint="eastAsia" w:ascii="楷体_GB2312" w:eastAsia="楷体_GB2312"/>
          <w:color w:val="auto"/>
          <w:u w:val="none"/>
        </w:rPr>
        <w:t>（一）售后维保要求</w:t>
      </w:r>
    </w:p>
    <w:p w14:paraId="6BAC4282">
      <w:pPr>
        <w:rPr>
          <w:rFonts w:ascii="仿宋_GB2312" w:hAnsi="仿宋_GB2312" w:cs="仿宋_GB2312"/>
          <w:color w:val="auto"/>
          <w:szCs w:val="32"/>
          <w:u w:val="none"/>
          <w:lang w:val="zh-CN"/>
        </w:rPr>
      </w:pPr>
      <w:r>
        <w:rPr>
          <w:rFonts w:hint="eastAsia" w:ascii="仿宋_GB2312" w:hAnsi="仿宋_GB2312" w:cs="仿宋_GB2312"/>
          <w:color w:val="auto"/>
          <w:szCs w:val="32"/>
          <w:u w:val="none"/>
          <w:lang w:val="zh-CN"/>
        </w:rPr>
        <w:t>1．质量保证期：本项目质量保证期</w:t>
      </w:r>
      <w:bookmarkStart w:id="42" w:name="_Hlk144409608"/>
      <w:r>
        <w:rPr>
          <w:rFonts w:hint="eastAsia" w:ascii="仿宋_GB2312" w:hAnsi="仿宋_GB2312" w:cs="仿宋_GB2312"/>
          <w:color w:val="auto"/>
          <w:szCs w:val="32"/>
          <w:u w:val="none"/>
        </w:rPr>
        <w:t>自交货验收完毕之日算起</w:t>
      </w:r>
      <w:bookmarkEnd w:id="42"/>
      <w:r>
        <w:rPr>
          <w:rFonts w:hint="eastAsia" w:ascii="仿宋_GB2312" w:hAnsi="仿宋_GB2312" w:cs="仿宋_GB2312"/>
          <w:color w:val="auto"/>
          <w:szCs w:val="32"/>
          <w:u w:val="none"/>
        </w:rPr>
        <w:t>不少于3年，</w:t>
      </w:r>
      <w:r>
        <w:rPr>
          <w:rFonts w:hint="eastAsia" w:ascii="仿宋_GB2312" w:hAnsi="仿宋_GB2312" w:cs="仿宋_GB2312"/>
          <w:color w:val="auto"/>
          <w:szCs w:val="32"/>
          <w:u w:val="none"/>
          <w:lang w:val="zh-CN"/>
        </w:rPr>
        <w:t>质保期内，供应商应为整个系统免费提供安装和稳定的运行维护</w:t>
      </w:r>
      <w:bookmarkStart w:id="43" w:name="_Hlk144409730"/>
      <w:r>
        <w:rPr>
          <w:rFonts w:hint="eastAsia" w:ascii="仿宋_GB2312" w:hAnsi="仿宋_GB2312" w:cs="仿宋_GB2312"/>
          <w:color w:val="auto"/>
          <w:szCs w:val="32"/>
          <w:u w:val="none"/>
          <w:lang w:val="zh-CN"/>
        </w:rPr>
        <w:t>服务</w:t>
      </w:r>
      <w:bookmarkEnd w:id="43"/>
      <w:r>
        <w:rPr>
          <w:rFonts w:hint="eastAsia" w:ascii="仿宋_GB2312" w:hAnsi="仿宋_GB2312" w:cs="仿宋_GB2312"/>
          <w:color w:val="auto"/>
          <w:szCs w:val="32"/>
          <w:u w:val="none"/>
          <w:lang w:val="zh-CN"/>
        </w:rPr>
        <w:t>，保障系统的日常维护、设备维护、升级维护和故障维护等正常开展。超出质保期后，供应商应当提供上门维修服务，仅收取成本费。</w:t>
      </w:r>
    </w:p>
    <w:p w14:paraId="4107E1B1">
      <w:pPr>
        <w:rPr>
          <w:rFonts w:ascii="仿宋_GB2312" w:hAnsi="仿宋_GB2312" w:cs="仿宋_GB2312"/>
          <w:color w:val="auto"/>
          <w:szCs w:val="32"/>
          <w:u w:val="none"/>
          <w:lang w:val="zh-CN"/>
        </w:rPr>
      </w:pPr>
      <w:r>
        <w:rPr>
          <w:rFonts w:hint="eastAsia" w:ascii="仿宋_GB2312" w:hAnsi="仿宋_GB2312" w:cs="仿宋_GB2312"/>
          <w:color w:val="auto"/>
          <w:szCs w:val="32"/>
          <w:u w:val="none"/>
          <w:lang w:val="zh-CN"/>
        </w:rPr>
        <w:t>2．</w:t>
      </w:r>
      <w:r>
        <w:rPr>
          <w:rFonts w:hint="eastAsia" w:ascii="仿宋_GB2312" w:hAnsi="仿宋_GB2312" w:cs="仿宋_GB2312"/>
          <w:color w:val="auto"/>
          <w:spacing w:val="-6"/>
          <w:szCs w:val="32"/>
          <w:u w:val="none"/>
          <w:lang w:val="zh-CN"/>
        </w:rPr>
        <w:t>服务响应：在系统出现故障时，供应商需在1小时内响应，并在24小时内解决故障</w:t>
      </w:r>
      <w:bookmarkStart w:id="44" w:name="_Hlk144409708"/>
      <w:r>
        <w:rPr>
          <w:rFonts w:hint="eastAsia" w:ascii="仿宋_GB2312" w:hAnsi="仿宋_GB2312" w:cs="仿宋_GB2312"/>
          <w:color w:val="auto"/>
          <w:spacing w:val="-6"/>
          <w:szCs w:val="32"/>
          <w:u w:val="none"/>
          <w:lang w:val="zh-CN"/>
        </w:rPr>
        <w:t>。</w:t>
      </w:r>
      <w:r>
        <w:rPr>
          <w:rFonts w:hint="eastAsia" w:ascii="仿宋_GB2312" w:hAnsi="仿宋_GB2312" w:cs="仿宋_GB2312"/>
          <w:color w:val="auto"/>
          <w:szCs w:val="32"/>
          <w:u w:val="none"/>
          <w:lang w:val="zh-CN"/>
        </w:rPr>
        <w:t xml:space="preserve"> </w:t>
      </w:r>
    </w:p>
    <w:bookmarkEnd w:id="44"/>
    <w:p w14:paraId="5794B21C">
      <w:pPr>
        <w:tabs>
          <w:tab w:val="left" w:pos="0"/>
        </w:tabs>
        <w:autoSpaceDE w:val="0"/>
        <w:autoSpaceDN w:val="0"/>
        <w:adjustRightInd w:val="0"/>
        <w:rPr>
          <w:rFonts w:ascii="仿宋_GB2312" w:hAnsi="仿宋_GB2312" w:cs="仿宋_GB2312"/>
          <w:color w:val="auto"/>
          <w:szCs w:val="32"/>
          <w:u w:val="none"/>
          <w:lang w:val="zh-CN"/>
        </w:rPr>
      </w:pPr>
      <w:r>
        <w:rPr>
          <w:rFonts w:hint="eastAsia" w:ascii="仿宋_GB2312" w:hAnsi="仿宋_GB2312" w:cs="仿宋_GB2312"/>
          <w:color w:val="auto"/>
          <w:szCs w:val="32"/>
          <w:u w:val="none"/>
        </w:rPr>
        <w:t>3．伴随保障服务：</w:t>
      </w:r>
      <w:r>
        <w:rPr>
          <w:rFonts w:hint="eastAsia" w:ascii="仿宋_GB2312" w:hAnsi="仿宋_GB2312" w:cs="仿宋_GB2312"/>
          <w:color w:val="auto"/>
          <w:szCs w:val="32"/>
          <w:u w:val="none"/>
          <w:lang w:val="zh-CN"/>
        </w:rPr>
        <w:t>供应商须承诺履行</w:t>
      </w:r>
      <w:r>
        <w:rPr>
          <w:rFonts w:hint="eastAsia" w:ascii="仿宋_GB2312" w:hAnsi="仿宋_GB2312" w:cs="仿宋_GB2312"/>
          <w:color w:val="auto"/>
          <w:szCs w:val="32"/>
          <w:u w:val="none"/>
          <w:lang w:val="zh-CN"/>
        </w:rPr>
        <w:t>军</w:t>
      </w:r>
      <w:r>
        <w:rPr>
          <w:rFonts w:hint="eastAsia" w:ascii="仿宋_GB2312" w:hAnsi="仿宋_GB2312" w:cs="仿宋_GB2312"/>
          <w:color w:val="auto"/>
          <w:szCs w:val="32"/>
          <w:u w:val="none"/>
          <w:lang w:val="zh-CN"/>
        </w:rPr>
        <w:t>事保密义务，支持在重大活动（行动）中提供现场应急支援保障服务。</w:t>
      </w:r>
    </w:p>
    <w:p w14:paraId="1478E334">
      <w:pPr>
        <w:tabs>
          <w:tab w:val="left" w:pos="0"/>
        </w:tabs>
        <w:autoSpaceDE w:val="0"/>
        <w:autoSpaceDN w:val="0"/>
        <w:adjustRightInd w:val="0"/>
        <w:rPr>
          <w:rFonts w:ascii="仿宋_GB2312" w:hAnsi="仿宋_GB2312" w:cs="仿宋_GB2312"/>
          <w:color w:val="auto"/>
          <w:szCs w:val="32"/>
          <w:u w:val="none"/>
          <w:lang w:val="zh-CN"/>
        </w:rPr>
      </w:pPr>
      <w:r>
        <w:rPr>
          <w:rFonts w:hint="eastAsia" w:ascii="仿宋_GB2312" w:hAnsi="仿宋_GB2312" w:cs="仿宋_GB2312"/>
          <w:color w:val="auto"/>
          <w:szCs w:val="32"/>
          <w:u w:val="none"/>
        </w:rPr>
        <w:t>4．系统使用培训服务：项目负责人或技术负责人至少开展一次培训；培训人员需具备高级技术职称，维保人员应当具有2年及以上工作经历。</w:t>
      </w:r>
    </w:p>
    <w:p w14:paraId="3B6699A1">
      <w:pPr>
        <w:rPr>
          <w:rFonts w:ascii="楷体_GB2312" w:eastAsia="楷体_GB2312"/>
          <w:color w:val="auto"/>
          <w:u w:val="none"/>
        </w:rPr>
      </w:pPr>
      <w:r>
        <w:rPr>
          <w:rFonts w:hint="eastAsia" w:ascii="楷体_GB2312" w:eastAsia="楷体_GB2312"/>
          <w:color w:val="auto"/>
          <w:u w:val="none"/>
        </w:rPr>
        <w:t>（二）技术培训要求</w:t>
      </w:r>
    </w:p>
    <w:p w14:paraId="20AB036A">
      <w:pPr>
        <w:tabs>
          <w:tab w:val="left" w:pos="0"/>
        </w:tabs>
        <w:autoSpaceDE w:val="0"/>
        <w:autoSpaceDN w:val="0"/>
        <w:adjustRightInd w:val="0"/>
        <w:rPr>
          <w:color w:val="auto"/>
          <w:szCs w:val="32"/>
          <w:u w:val="none"/>
          <w:lang w:val="zh-CN"/>
        </w:rPr>
      </w:pPr>
      <w:r>
        <w:rPr>
          <w:rFonts w:hint="eastAsia"/>
          <w:color w:val="auto"/>
          <w:szCs w:val="32"/>
          <w:u w:val="none"/>
          <w:lang w:val="zh-CN"/>
        </w:rPr>
        <w:t>供应商需免费</w:t>
      </w:r>
      <w:r>
        <w:rPr>
          <w:color w:val="auto"/>
          <w:szCs w:val="32"/>
          <w:u w:val="none"/>
          <w:lang w:val="zh-CN"/>
        </w:rPr>
        <w:t>提供</w:t>
      </w:r>
      <w:r>
        <w:rPr>
          <w:rFonts w:hint="eastAsia"/>
          <w:color w:val="auto"/>
          <w:szCs w:val="32"/>
          <w:u w:val="none"/>
          <w:lang w:val="zh-CN"/>
        </w:rPr>
        <w:t>软件系统在甲方和系统试点应用单位的</w:t>
      </w:r>
      <w:r>
        <w:rPr>
          <w:color w:val="auto"/>
          <w:szCs w:val="32"/>
          <w:u w:val="none"/>
          <w:lang w:val="zh-CN"/>
        </w:rPr>
        <w:t>技术培训</w:t>
      </w:r>
      <w:r>
        <w:rPr>
          <w:rFonts w:hint="eastAsia"/>
          <w:color w:val="auto"/>
          <w:szCs w:val="32"/>
          <w:u w:val="none"/>
          <w:lang w:val="zh-CN"/>
        </w:rPr>
        <w:t>服务</w:t>
      </w:r>
      <w:r>
        <w:rPr>
          <w:color w:val="auto"/>
          <w:szCs w:val="32"/>
          <w:u w:val="none"/>
          <w:lang w:val="zh-CN"/>
        </w:rPr>
        <w:t>。</w:t>
      </w:r>
      <w:r>
        <w:rPr>
          <w:rFonts w:hint="eastAsia"/>
          <w:color w:val="auto"/>
          <w:szCs w:val="32"/>
          <w:u w:val="none"/>
          <w:lang w:val="zh-CN"/>
        </w:rPr>
        <w:t>培训内容包括系统软件安装、系统日常维护、系统操作使用等。制定培训大纲、培训计划，编制培训讲义和教材。为前台应用人员、运维管理人员提供有针对性的技术培训，使各类人员分别具备应用和运维能力。为不同用户提供使用手册，收集设计、研发和使用中问题，建立常见问题库，供用户了解掌握。</w:t>
      </w:r>
    </w:p>
    <w:p w14:paraId="304DD876">
      <w:pPr>
        <w:pStyle w:val="2"/>
        <w:rPr>
          <w:color w:val="auto"/>
          <w:u w:val="none"/>
        </w:rPr>
      </w:pPr>
      <w:bookmarkStart w:id="45" w:name="_Toc145962959"/>
      <w:bookmarkStart w:id="46" w:name="_Toc146188429"/>
      <w:bookmarkStart w:id="47" w:name="_Toc148019486"/>
      <w:r>
        <w:rPr>
          <w:rFonts w:hint="eastAsia"/>
          <w:color w:val="auto"/>
          <w:u w:val="none"/>
        </w:rPr>
        <w:t>五、保密和专利要求</w:t>
      </w:r>
      <w:bookmarkEnd w:id="45"/>
      <w:bookmarkEnd w:id="46"/>
      <w:bookmarkEnd w:id="47"/>
    </w:p>
    <w:p w14:paraId="40B89B91">
      <w:pPr>
        <w:rPr>
          <w:color w:val="auto"/>
          <w:szCs w:val="32"/>
          <w:u w:val="none"/>
          <w:lang w:val="zh-CN"/>
        </w:rPr>
      </w:pPr>
      <w:r>
        <w:rPr>
          <w:rFonts w:hint="eastAsia"/>
          <w:color w:val="auto"/>
          <w:szCs w:val="32"/>
          <w:u w:val="none"/>
        </w:rPr>
        <w:t>（一）</w:t>
      </w:r>
      <w:r>
        <w:rPr>
          <w:rFonts w:hint="eastAsia"/>
          <w:color w:val="auto"/>
          <w:szCs w:val="32"/>
          <w:u w:val="none"/>
          <w:lang w:val="zh-CN"/>
        </w:rPr>
        <w:t>投标商应保证使用方在使用本软件系统或其任何一部分时，不受第三方关于侵犯专利权、商标权和工业设计权等的侵权指控，甲方不承担任何连带责任和赔偿责任。同时，投标商需和招标人签订保密协议，不得向第三方泄露招标人提供的技术文件等资料；</w:t>
      </w:r>
    </w:p>
    <w:p w14:paraId="34271738">
      <w:pPr>
        <w:rPr>
          <w:color w:val="auto"/>
          <w:szCs w:val="32"/>
          <w:u w:val="none"/>
          <w:lang w:val="zh-CN"/>
        </w:rPr>
      </w:pPr>
      <w:r>
        <w:rPr>
          <w:rFonts w:hint="eastAsia"/>
          <w:color w:val="auto"/>
          <w:szCs w:val="32"/>
          <w:u w:val="none"/>
          <w:lang w:val="zh-CN"/>
        </w:rPr>
        <w:t>（二）本项目产生的所有知识产权及源代码等归属甲方所有</w:t>
      </w:r>
      <w:r>
        <w:rPr>
          <w:rFonts w:hint="eastAsia"/>
          <w:color w:val="auto"/>
          <w:szCs w:val="32"/>
          <w:u w:val="none"/>
        </w:rPr>
        <w:t>，</w:t>
      </w:r>
      <w:r>
        <w:rPr>
          <w:rFonts w:hint="eastAsia"/>
          <w:color w:val="auto"/>
          <w:szCs w:val="32"/>
          <w:u w:val="none"/>
          <w:lang w:val="zh-CN"/>
        </w:rPr>
        <w:t>可根据需要安装使用。</w:t>
      </w:r>
      <w:r>
        <w:rPr>
          <w:rFonts w:hint="eastAsia"/>
          <w:color w:val="auto"/>
          <w:szCs w:val="32"/>
          <w:u w:val="none"/>
        </w:rPr>
        <w:t>中标供应商应确保源代码质量，配合甲方申请相应软件著作权。</w:t>
      </w:r>
    </w:p>
    <w:p w14:paraId="51B9CA5F">
      <w:pPr>
        <w:pStyle w:val="2"/>
        <w:rPr>
          <w:color w:val="auto"/>
          <w:u w:val="none"/>
        </w:rPr>
      </w:pPr>
      <w:bookmarkStart w:id="48" w:name="_Toc148019487"/>
      <w:bookmarkStart w:id="49" w:name="_Toc145962960"/>
      <w:bookmarkStart w:id="50" w:name="_Toc146188430"/>
      <w:bookmarkStart w:id="51" w:name="_Hlk145955762"/>
      <w:r>
        <w:rPr>
          <w:rFonts w:hint="eastAsia"/>
          <w:color w:val="auto"/>
          <w:u w:val="none"/>
        </w:rPr>
        <w:t>六、报价要求</w:t>
      </w:r>
      <w:bookmarkEnd w:id="48"/>
      <w:bookmarkEnd w:id="49"/>
      <w:bookmarkEnd w:id="50"/>
    </w:p>
    <w:p w14:paraId="7BC8E847">
      <w:pPr>
        <w:rPr>
          <w:rFonts w:ascii="仿宋_GB2312" w:hAnsi="Calibri" w:cs="Times New Roman"/>
          <w:color w:val="auto"/>
          <w:szCs w:val="32"/>
          <w:u w:val="none"/>
        </w:rPr>
      </w:pPr>
      <w:r>
        <w:rPr>
          <w:rFonts w:hint="eastAsia" w:ascii="仿宋_GB2312" w:hAnsi="仿宋_GB2312" w:cs="仿宋_GB2312"/>
          <w:color w:val="auto"/>
          <w:szCs w:val="32"/>
          <w:u w:val="none"/>
        </w:rPr>
        <w:t>投标方应按照软件功能模块</w:t>
      </w:r>
      <w:r>
        <w:rPr>
          <w:rFonts w:ascii="仿宋_GB2312" w:hAnsi="仿宋_GB2312" w:cs="仿宋_GB2312"/>
          <w:color w:val="auto"/>
          <w:szCs w:val="32"/>
          <w:u w:val="none"/>
        </w:rPr>
        <w:t>进行</w:t>
      </w:r>
      <w:r>
        <w:rPr>
          <w:rFonts w:hint="eastAsia" w:ascii="仿宋_GB2312" w:hAnsi="仿宋_GB2312" w:cs="仿宋_GB2312"/>
          <w:color w:val="auto"/>
          <w:szCs w:val="32"/>
          <w:u w:val="none"/>
        </w:rPr>
        <w:t>报价。软件开发研制报价包括软件需求分析、设计、编码、集成、测试、试验、验收、售后维保等工作所需费用。计价范围包括预计成本、收益和税金，预计成本包括综合费用、直接非人力成本。</w:t>
      </w:r>
    </w:p>
    <w:bookmarkEnd w:id="51"/>
    <w:p w14:paraId="2A55B6C6">
      <w:pPr>
        <w:spacing w:line="240" w:lineRule="auto"/>
        <w:ind w:firstLine="0" w:firstLineChars="0"/>
        <w:rPr>
          <w:rFonts w:ascii="仿宋_GB2312" w:hAnsi="宋体" w:cs="Times New Roman"/>
          <w:b/>
          <w:color w:val="auto"/>
          <w:szCs w:val="32"/>
          <w:u w:val="none"/>
        </w:rPr>
      </w:pPr>
      <w:r>
        <w:rPr>
          <w:rFonts w:hint="eastAsia" w:ascii="仿宋_GB2312" w:hAnsi="宋体" w:cs="Times New Roman"/>
          <w:b/>
          <w:color w:val="auto"/>
          <w:szCs w:val="32"/>
          <w:u w:val="none"/>
        </w:rPr>
        <w:br w:type="page"/>
      </w:r>
    </w:p>
    <w:p w14:paraId="71F354C5">
      <w:pPr>
        <w:keepNext/>
        <w:keepLines/>
        <w:ind w:firstLine="0" w:firstLineChars="0"/>
        <w:outlineLvl w:val="1"/>
        <w:rPr>
          <w:rFonts w:ascii="黑体" w:hAnsi="黑体" w:eastAsia="黑体" w:cs="Times New Roman"/>
          <w:color w:val="auto"/>
          <w:u w:val="none"/>
        </w:rPr>
      </w:pPr>
      <w:r>
        <w:rPr>
          <w:rFonts w:hint="eastAsia" w:ascii="黑体" w:hAnsi="黑体" w:eastAsia="黑体" w:cs="Times New Roman"/>
          <w:color w:val="auto"/>
          <w:u w:val="none"/>
        </w:rPr>
        <w:t>附件4</w:t>
      </w:r>
    </w:p>
    <w:p w14:paraId="060B29F3">
      <w:pPr>
        <w:pBdr>
          <w:top w:val="none" w:color="auto" w:sz="0" w:space="1"/>
          <w:left w:val="none" w:color="auto" w:sz="0" w:space="4"/>
          <w:bottom w:val="none" w:color="auto" w:sz="0" w:space="1"/>
          <w:right w:val="none" w:color="auto" w:sz="0" w:space="4"/>
        </w:pBdr>
        <w:overflowPunct w:val="0"/>
        <w:spacing w:before="156" w:beforeLines="50" w:after="156" w:afterLines="50" w:line="570" w:lineRule="exact"/>
        <w:ind w:firstLine="0" w:firstLineChars="0"/>
        <w:jc w:val="center"/>
        <w:rPr>
          <w:rFonts w:ascii="仿宋_GB2312" w:hAnsi="宋体" w:cs="Times New Roman"/>
          <w:b/>
          <w:color w:val="auto"/>
          <w:sz w:val="44"/>
          <w:szCs w:val="44"/>
          <w:u w:val="none"/>
        </w:rPr>
      </w:pPr>
      <w:r>
        <w:rPr>
          <w:rFonts w:hint="eastAsia" w:ascii="方正小标宋简体" w:hAnsi="仿宋" w:eastAsia="方正小标宋简体"/>
          <w:color w:val="auto"/>
          <w:sz w:val="44"/>
          <w:szCs w:val="44"/>
          <w:u w:val="none"/>
        </w:rPr>
        <w:t>实施意见</w:t>
      </w:r>
    </w:p>
    <w:p w14:paraId="543D9465">
      <w:pPr>
        <w:pStyle w:val="2"/>
        <w:rPr>
          <w:color w:val="auto"/>
          <w:u w:val="none"/>
        </w:rPr>
      </w:pPr>
      <w:r>
        <w:rPr>
          <w:rFonts w:hint="eastAsia"/>
          <w:color w:val="auto"/>
          <w:u w:val="none"/>
        </w:rPr>
        <w:t>一、采购包划分</w:t>
      </w:r>
    </w:p>
    <w:p w14:paraId="010201C6">
      <w:pPr>
        <w:spacing w:line="560" w:lineRule="exact"/>
        <w:rPr>
          <w:rFonts w:ascii="仿宋_GB2312" w:hAnsi="宋体" w:cs="Times New Roman"/>
          <w:color w:val="auto"/>
          <w:szCs w:val="32"/>
          <w:u w:val="none"/>
        </w:rPr>
      </w:pPr>
      <w:r>
        <w:rPr>
          <w:rFonts w:hint="eastAsia" w:ascii="仿宋_GB2312" w:hAnsi="宋体" w:cs="Times New Roman"/>
          <w:color w:val="auto"/>
          <w:szCs w:val="32"/>
          <w:u w:val="none"/>
        </w:rPr>
        <w:t>根据采购分类，结合项目实际，本项目1包采购，属于软件开发服务类项目。</w:t>
      </w:r>
    </w:p>
    <w:p w14:paraId="21CD3FB5">
      <w:pPr>
        <w:pStyle w:val="2"/>
        <w:rPr>
          <w:color w:val="auto"/>
          <w:u w:val="none"/>
        </w:rPr>
      </w:pPr>
      <w:r>
        <w:rPr>
          <w:rFonts w:hint="eastAsia"/>
          <w:color w:val="auto"/>
          <w:u w:val="none"/>
        </w:rPr>
        <w:t>二、采购方式选择</w:t>
      </w:r>
    </w:p>
    <w:p w14:paraId="45B3998B">
      <w:pPr>
        <w:spacing w:line="560" w:lineRule="exact"/>
        <w:rPr>
          <w:rFonts w:ascii="仿宋_GB2312" w:hAnsi="宋体" w:cs="Times New Roman"/>
          <w:color w:val="auto"/>
          <w:szCs w:val="32"/>
          <w:u w:val="none"/>
        </w:rPr>
      </w:pPr>
      <w:r>
        <w:rPr>
          <w:rFonts w:hint="eastAsia" w:ascii="仿宋_GB2312" w:hAnsi="宋体" w:cs="Times New Roman"/>
          <w:color w:val="auto"/>
          <w:szCs w:val="32"/>
          <w:u w:val="none"/>
        </w:rPr>
        <w:t>本项目规模达到了陆</w:t>
      </w:r>
      <w:r>
        <w:rPr>
          <w:rFonts w:hint="eastAsia" w:ascii="仿宋_GB2312" w:hAnsi="宋体" w:cs="Times New Roman"/>
          <w:color w:val="auto"/>
          <w:szCs w:val="32"/>
          <w:u w:val="none"/>
          <w:lang w:eastAsia="zh-CN"/>
        </w:rPr>
        <w:t>军</w:t>
      </w:r>
      <w:r>
        <w:rPr>
          <w:rFonts w:hint="eastAsia" w:ascii="仿宋_GB2312" w:hAnsi="宋体" w:cs="Times New Roman"/>
          <w:color w:val="auto"/>
          <w:szCs w:val="32"/>
          <w:u w:val="none"/>
        </w:rPr>
        <w:t>规定的需招标采购的金额，项目信息经脱密处理可以对外公开发布，符合公开招标采购方式适用条件，建议采用公开招标方式组织采购。</w:t>
      </w:r>
    </w:p>
    <w:p w14:paraId="42AE07CE">
      <w:pPr>
        <w:pStyle w:val="2"/>
        <w:rPr>
          <w:color w:val="auto"/>
          <w:u w:val="none"/>
        </w:rPr>
      </w:pPr>
      <w:r>
        <w:rPr>
          <w:rFonts w:hint="eastAsia"/>
          <w:color w:val="auto"/>
          <w:u w:val="none"/>
        </w:rPr>
        <w:t>三、供应商资格条件设定</w:t>
      </w:r>
    </w:p>
    <w:p w14:paraId="4C518134">
      <w:pPr>
        <w:spacing w:line="560" w:lineRule="exact"/>
        <w:rPr>
          <w:rFonts w:ascii="仿宋_GB2312" w:hAnsi="宋体" w:cs="Times New Roman"/>
          <w:color w:val="auto"/>
          <w:szCs w:val="32"/>
          <w:u w:val="none"/>
        </w:rPr>
      </w:pPr>
      <w:r>
        <w:rPr>
          <w:rFonts w:hint="eastAsia" w:ascii="仿宋_GB2312" w:hAnsi="宋体" w:cs="Times New Roman"/>
          <w:color w:val="auto"/>
          <w:szCs w:val="32"/>
          <w:u w:val="none"/>
        </w:rPr>
        <w:t>1．符合《中华人民共和国政府采购法》第二十二条资格条件。</w:t>
      </w:r>
    </w:p>
    <w:p w14:paraId="695575E2">
      <w:pPr>
        <w:spacing w:line="560" w:lineRule="exact"/>
        <w:rPr>
          <w:rFonts w:ascii="仿宋_GB2312" w:hAnsi="宋体" w:cs="Times New Roman"/>
          <w:color w:val="auto"/>
          <w:szCs w:val="32"/>
          <w:u w:val="none"/>
        </w:rPr>
      </w:pPr>
      <w:r>
        <w:rPr>
          <w:rFonts w:hint="eastAsia" w:ascii="仿宋_GB2312" w:hAnsi="宋体" w:cs="Times New Roman"/>
          <w:color w:val="auto"/>
          <w:szCs w:val="32"/>
          <w:u w:val="none"/>
        </w:rPr>
        <w:t>（1）具有独立承担民事责任的能力；</w:t>
      </w:r>
    </w:p>
    <w:p w14:paraId="0C57898A">
      <w:pPr>
        <w:spacing w:line="560" w:lineRule="exact"/>
        <w:rPr>
          <w:rFonts w:ascii="仿宋_GB2312" w:hAnsi="宋体" w:cs="Times New Roman"/>
          <w:color w:val="auto"/>
          <w:szCs w:val="32"/>
          <w:u w:val="none"/>
        </w:rPr>
      </w:pPr>
      <w:r>
        <w:rPr>
          <w:rFonts w:hint="eastAsia" w:ascii="仿宋_GB2312" w:hAnsi="宋体" w:cs="Times New Roman"/>
          <w:color w:val="auto"/>
          <w:szCs w:val="32"/>
          <w:u w:val="none"/>
        </w:rPr>
        <w:t>（2）具有良好的商业信誉和健全的财务会计制度；</w:t>
      </w:r>
    </w:p>
    <w:p w14:paraId="1C41C659">
      <w:pPr>
        <w:spacing w:line="560" w:lineRule="exact"/>
        <w:rPr>
          <w:rFonts w:ascii="仿宋_GB2312" w:hAnsi="宋体" w:cs="Times New Roman"/>
          <w:color w:val="auto"/>
          <w:szCs w:val="32"/>
          <w:u w:val="none"/>
        </w:rPr>
      </w:pPr>
      <w:r>
        <w:rPr>
          <w:rFonts w:hint="eastAsia" w:ascii="仿宋_GB2312" w:hAnsi="宋体" w:cs="Times New Roman"/>
          <w:color w:val="auto"/>
          <w:szCs w:val="32"/>
          <w:u w:val="none"/>
        </w:rPr>
        <w:t>（3）具有履行合同所必需的设备和专业技术能力；</w:t>
      </w:r>
    </w:p>
    <w:p w14:paraId="7B4AA257">
      <w:pPr>
        <w:spacing w:line="560" w:lineRule="exact"/>
        <w:rPr>
          <w:rFonts w:ascii="仿宋_GB2312" w:hAnsi="宋体" w:cs="Times New Roman"/>
          <w:color w:val="auto"/>
          <w:szCs w:val="32"/>
          <w:u w:val="none"/>
        </w:rPr>
      </w:pPr>
      <w:r>
        <w:rPr>
          <w:rFonts w:hint="eastAsia" w:ascii="仿宋_GB2312" w:hAnsi="宋体" w:cs="Times New Roman"/>
          <w:color w:val="auto"/>
          <w:szCs w:val="32"/>
          <w:u w:val="none"/>
        </w:rPr>
        <w:t>（4）有依法缴纳税收和社会保障资金的良好记录；</w:t>
      </w:r>
    </w:p>
    <w:p w14:paraId="4AF1100D">
      <w:pPr>
        <w:spacing w:line="560" w:lineRule="exact"/>
        <w:rPr>
          <w:rFonts w:ascii="仿宋_GB2312" w:hAnsi="宋体" w:cs="Times New Roman"/>
          <w:color w:val="auto"/>
          <w:szCs w:val="32"/>
          <w:u w:val="none"/>
        </w:rPr>
      </w:pPr>
      <w:r>
        <w:rPr>
          <w:rFonts w:hint="eastAsia" w:ascii="仿宋_GB2312" w:hAnsi="宋体" w:cs="Times New Roman"/>
          <w:color w:val="auto"/>
          <w:szCs w:val="32"/>
          <w:u w:val="none"/>
        </w:rPr>
        <w:t>（5）参加政府采购活动前3年内，在经营活动中没有重大违法记录；</w:t>
      </w:r>
    </w:p>
    <w:p w14:paraId="46391553">
      <w:pPr>
        <w:spacing w:line="560" w:lineRule="exact"/>
        <w:rPr>
          <w:rFonts w:ascii="仿宋_GB2312" w:hAnsi="宋体" w:cs="Times New Roman"/>
          <w:color w:val="auto"/>
          <w:szCs w:val="32"/>
          <w:u w:val="none"/>
        </w:rPr>
      </w:pPr>
      <w:r>
        <w:rPr>
          <w:rFonts w:hint="eastAsia" w:ascii="仿宋_GB2312" w:hAnsi="宋体" w:cs="Times New Roman"/>
          <w:color w:val="auto"/>
          <w:szCs w:val="32"/>
          <w:u w:val="none"/>
        </w:rPr>
        <w:t>（6）法律、行政法规规定的其他条件。</w:t>
      </w:r>
    </w:p>
    <w:p w14:paraId="1614AE67">
      <w:pPr>
        <w:spacing w:line="560" w:lineRule="exact"/>
        <w:rPr>
          <w:rFonts w:ascii="仿宋_GB2312" w:hAnsi="宋体" w:cs="Times New Roman"/>
          <w:color w:val="auto"/>
          <w:szCs w:val="32"/>
          <w:u w:val="none"/>
        </w:rPr>
      </w:pPr>
      <w:r>
        <w:rPr>
          <w:rFonts w:hint="eastAsia" w:ascii="仿宋_GB2312" w:hAnsi="宋体" w:cs="Times New Roman"/>
          <w:color w:val="auto"/>
          <w:szCs w:val="32"/>
          <w:u w:val="none"/>
        </w:rPr>
        <w:t>2．国有企业；事业单位；</w:t>
      </w:r>
      <w:r>
        <w:rPr>
          <w:rFonts w:hint="eastAsia" w:ascii="仿宋_GB2312" w:hAnsi="宋体" w:cs="Times New Roman"/>
          <w:color w:val="auto"/>
          <w:szCs w:val="32"/>
          <w:u w:val="none"/>
          <w:lang w:eastAsia="zh-CN"/>
        </w:rPr>
        <w:t>军</w:t>
      </w:r>
      <w:r>
        <w:rPr>
          <w:rFonts w:hint="eastAsia" w:ascii="仿宋_GB2312" w:hAnsi="宋体" w:cs="Times New Roman"/>
          <w:color w:val="auto"/>
          <w:szCs w:val="32"/>
          <w:u w:val="none"/>
        </w:rPr>
        <w:t>队单位；成立3年以上的非外资独资企业或控股企业。</w:t>
      </w:r>
    </w:p>
    <w:p w14:paraId="0EC8FF70">
      <w:pPr>
        <w:spacing w:line="560" w:lineRule="exact"/>
        <w:rPr>
          <w:rFonts w:ascii="仿宋_GB2312" w:hAnsi="宋体" w:cs="Times New Roman"/>
          <w:color w:val="auto"/>
          <w:szCs w:val="32"/>
          <w:u w:val="none"/>
        </w:rPr>
      </w:pPr>
      <w:r>
        <w:rPr>
          <w:rFonts w:hint="eastAsia" w:ascii="仿宋_GB2312" w:hAnsi="宋体" w:cs="Times New Roman"/>
          <w:color w:val="auto"/>
          <w:szCs w:val="32"/>
          <w:u w:val="none"/>
        </w:rPr>
        <w:t>3．单位负责人为同一人或存在直接控股或管理关系的不同供应商，不得同时参加同一包的采购活动。生产场经营地址或注册登记地址为同一地址的不同生产型企业，股东和管理人员（法定代表人、董事或监事）之间存在近亲属或相互占股等关联关系的不同非国有销售型企业，也不得同时参加同一包的采购活动。近亲属指夫妻、直系血亲、三代以内旁系血亲或近姻亲关系。</w:t>
      </w:r>
    </w:p>
    <w:p w14:paraId="7EBA5392">
      <w:pPr>
        <w:spacing w:line="560" w:lineRule="exact"/>
        <w:rPr>
          <w:rFonts w:ascii="仿宋_GB2312" w:hAnsi="宋体" w:cs="Times New Roman"/>
          <w:color w:val="auto"/>
          <w:szCs w:val="32"/>
          <w:u w:val="none"/>
        </w:rPr>
      </w:pPr>
      <w:r>
        <w:rPr>
          <w:rFonts w:hint="eastAsia" w:ascii="仿宋_GB2312" w:hAnsi="宋体" w:cs="Times New Roman"/>
          <w:color w:val="auto"/>
          <w:szCs w:val="32"/>
          <w:u w:val="none"/>
        </w:rPr>
        <w:t>4．未被中国政府采购网（www.ccgp.gov.cn）列入政府采购严重违法失信行为记录名单，未在</w:t>
      </w:r>
      <w:r>
        <w:rPr>
          <w:rFonts w:hint="eastAsia" w:ascii="仿宋_GB2312" w:hAnsi="宋体" w:cs="Times New Roman"/>
          <w:color w:val="auto"/>
          <w:szCs w:val="32"/>
          <w:u w:val="none"/>
          <w:lang w:eastAsia="zh-CN"/>
        </w:rPr>
        <w:t>军</w:t>
      </w:r>
      <w:r>
        <w:rPr>
          <w:rFonts w:hint="eastAsia" w:ascii="仿宋_GB2312" w:hAnsi="宋体" w:cs="Times New Roman"/>
          <w:color w:val="auto"/>
          <w:szCs w:val="32"/>
          <w:u w:val="none"/>
        </w:rPr>
        <w:t>队采购网（www.plap.mil.cn）</w:t>
      </w:r>
      <w:r>
        <w:rPr>
          <w:rFonts w:hint="eastAsia" w:ascii="仿宋_GB2312" w:hAnsi="宋体" w:cs="Times New Roman"/>
          <w:color w:val="auto"/>
          <w:szCs w:val="32"/>
          <w:u w:val="none"/>
          <w:lang w:eastAsia="zh-CN"/>
        </w:rPr>
        <w:t>军</w:t>
      </w:r>
      <w:r>
        <w:rPr>
          <w:rFonts w:hint="eastAsia" w:ascii="仿宋_GB2312" w:hAnsi="宋体" w:cs="Times New Roman"/>
          <w:color w:val="auto"/>
          <w:szCs w:val="32"/>
          <w:u w:val="none"/>
        </w:rPr>
        <w:t>队采购暂停名单处罚范围内或</w:t>
      </w:r>
      <w:r>
        <w:rPr>
          <w:rFonts w:hint="eastAsia" w:ascii="仿宋_GB2312" w:hAnsi="宋体" w:cs="Times New Roman"/>
          <w:color w:val="auto"/>
          <w:szCs w:val="32"/>
          <w:u w:val="none"/>
          <w:lang w:eastAsia="zh-CN"/>
        </w:rPr>
        <w:t>军</w:t>
      </w:r>
      <w:r>
        <w:rPr>
          <w:rFonts w:hint="eastAsia" w:ascii="仿宋_GB2312" w:hAnsi="宋体" w:cs="Times New Roman"/>
          <w:color w:val="auto"/>
          <w:szCs w:val="32"/>
          <w:u w:val="none"/>
        </w:rPr>
        <w:t>队采购失信名单禁入处罚期和处罚范围内，以及未被“信用中国”（www.creditchina.gov.cn）列入严重失信主体名单或国家企业信用信息公示系统（www.gsxt.gov.cn）列入严重违法失信名单（处罚期内）。</w:t>
      </w:r>
    </w:p>
    <w:p w14:paraId="2B337A3E">
      <w:pPr>
        <w:spacing w:line="560" w:lineRule="exact"/>
        <w:rPr>
          <w:rFonts w:ascii="仿宋_GB2312" w:hAnsi="宋体" w:cs="Times New Roman"/>
          <w:color w:val="auto"/>
          <w:szCs w:val="32"/>
          <w:u w:val="none"/>
        </w:rPr>
      </w:pPr>
      <w:r>
        <w:rPr>
          <w:rFonts w:hint="eastAsia" w:ascii="仿宋_GB2312" w:hAnsi="宋体" w:cs="Times New Roman"/>
          <w:color w:val="auto"/>
          <w:szCs w:val="32"/>
          <w:u w:val="none"/>
        </w:rPr>
        <w:t>5．本项目不接受联合体投标。</w:t>
      </w:r>
    </w:p>
    <w:p w14:paraId="186BCE1E">
      <w:pPr>
        <w:spacing w:line="560" w:lineRule="exact"/>
        <w:rPr>
          <w:rFonts w:ascii="仿宋_GB2312" w:hAnsi="宋体" w:cs="Times New Roman"/>
          <w:color w:val="auto"/>
          <w:szCs w:val="32"/>
          <w:u w:val="none"/>
        </w:rPr>
      </w:pPr>
      <w:r>
        <w:rPr>
          <w:rFonts w:hint="eastAsia" w:ascii="仿宋_GB2312" w:hAnsi="宋体" w:cs="Times New Roman"/>
          <w:color w:val="auto"/>
          <w:szCs w:val="32"/>
          <w:u w:val="none"/>
        </w:rPr>
        <w:t>6．特定资格条件：考虑项目技术难度，要求供应商具备CMMI3认证及以上资质。（理由：CMMI认证分五个等级，五级为最高等级。此项目要求企业有已完成的类似软件研发项目、懂软件编程的人员、标准化的项目管理工具等，CMMI 3级即可满足项目要求，代表企业能力成熟度模型集成已经标准化和文档化，并且能够按照标准化完成整个项目。）</w:t>
      </w:r>
    </w:p>
    <w:p w14:paraId="1FDD8ACA">
      <w:pPr>
        <w:pStyle w:val="2"/>
        <w:rPr>
          <w:color w:val="auto"/>
          <w:u w:val="none"/>
        </w:rPr>
      </w:pPr>
      <w:r>
        <w:rPr>
          <w:rFonts w:hint="eastAsia"/>
          <w:color w:val="auto"/>
          <w:u w:val="none"/>
        </w:rPr>
        <w:t>四、样品评审组织</w:t>
      </w:r>
    </w:p>
    <w:p w14:paraId="67FF38FC">
      <w:pPr>
        <w:spacing w:line="560" w:lineRule="exact"/>
        <w:jc w:val="left"/>
        <w:rPr>
          <w:rFonts w:ascii="仿宋_GB2312" w:hAnsi="宋体" w:cs="Times New Roman"/>
          <w:color w:val="auto"/>
          <w:szCs w:val="32"/>
          <w:u w:val="none"/>
        </w:rPr>
      </w:pPr>
      <w:r>
        <w:rPr>
          <w:rFonts w:hint="eastAsia" w:ascii="仿宋_GB2312" w:hAnsi="宋体" w:cs="Times New Roman"/>
          <w:color w:val="auto"/>
          <w:szCs w:val="32"/>
          <w:u w:val="none"/>
        </w:rPr>
        <w:t>本项目无需组织原型测评。</w:t>
      </w:r>
    </w:p>
    <w:p w14:paraId="1B51D39C">
      <w:pPr>
        <w:pStyle w:val="2"/>
        <w:rPr>
          <w:color w:val="auto"/>
          <w:u w:val="none"/>
        </w:rPr>
      </w:pPr>
      <w:r>
        <w:rPr>
          <w:rFonts w:hint="eastAsia"/>
          <w:color w:val="auto"/>
          <w:u w:val="none"/>
        </w:rPr>
        <w:t>五、评审方法选择</w:t>
      </w:r>
    </w:p>
    <w:p w14:paraId="138F272B">
      <w:pPr>
        <w:spacing w:line="560" w:lineRule="exact"/>
        <w:rPr>
          <w:rFonts w:ascii="仿宋_GB2312" w:hAnsi="宋体" w:cs="Times New Roman"/>
          <w:color w:val="auto"/>
          <w:szCs w:val="32"/>
          <w:u w:val="none"/>
        </w:rPr>
      </w:pPr>
      <w:r>
        <w:rPr>
          <w:rFonts w:hint="eastAsia" w:ascii="仿宋_GB2312" w:hAnsi="宋体" w:cs="Times New Roman"/>
          <w:color w:val="auto"/>
          <w:szCs w:val="32"/>
          <w:u w:val="none"/>
        </w:rPr>
        <w:t>本项目系统复杂程度不高，技术成熟，建议采用综合评分法。</w:t>
      </w:r>
    </w:p>
    <w:p w14:paraId="33367859">
      <w:pPr>
        <w:pStyle w:val="2"/>
        <w:rPr>
          <w:color w:val="auto"/>
          <w:u w:val="none"/>
        </w:rPr>
      </w:pPr>
      <w:r>
        <w:rPr>
          <w:rFonts w:hint="eastAsia"/>
          <w:color w:val="auto"/>
          <w:u w:val="none"/>
        </w:rPr>
        <w:t>六、合同履约要求</w:t>
      </w:r>
    </w:p>
    <w:p w14:paraId="170CDE7C">
      <w:pPr>
        <w:spacing w:line="560" w:lineRule="exact"/>
        <w:jc w:val="left"/>
        <w:rPr>
          <w:rFonts w:ascii="仿宋_GB2312" w:hAnsi="宋体" w:cs="Times New Roman"/>
          <w:color w:val="auto"/>
          <w:szCs w:val="32"/>
          <w:u w:val="none"/>
        </w:rPr>
      </w:pPr>
      <w:r>
        <w:rPr>
          <w:rFonts w:hint="eastAsia" w:ascii="仿宋_GB2312" w:hAnsi="宋体" w:cs="Times New Roman"/>
          <w:color w:val="auto"/>
          <w:szCs w:val="32"/>
          <w:u w:val="none"/>
        </w:rPr>
        <w:t>1．验收合格条件</w:t>
      </w:r>
    </w:p>
    <w:p w14:paraId="37791625">
      <w:pPr>
        <w:spacing w:line="560" w:lineRule="exact"/>
        <w:jc w:val="left"/>
        <w:rPr>
          <w:rFonts w:ascii="仿宋_GB2312" w:hAnsi="宋体" w:cs="Times New Roman"/>
          <w:color w:val="auto"/>
          <w:szCs w:val="32"/>
          <w:u w:val="none"/>
        </w:rPr>
      </w:pPr>
      <w:r>
        <w:rPr>
          <w:rFonts w:hint="eastAsia" w:ascii="仿宋_GB2312" w:hAnsi="宋体" w:cs="Times New Roman"/>
          <w:color w:val="auto"/>
          <w:szCs w:val="32"/>
          <w:u w:val="none"/>
        </w:rPr>
        <w:t>（1）技术资料齐全；</w:t>
      </w:r>
    </w:p>
    <w:p w14:paraId="4B3A0B0A">
      <w:pPr>
        <w:spacing w:line="560" w:lineRule="exact"/>
        <w:jc w:val="left"/>
        <w:rPr>
          <w:rFonts w:ascii="仿宋_GB2312" w:hAnsi="宋体" w:cs="Times New Roman"/>
          <w:color w:val="auto"/>
          <w:szCs w:val="32"/>
          <w:u w:val="none"/>
        </w:rPr>
      </w:pPr>
      <w:r>
        <w:rPr>
          <w:rFonts w:hint="eastAsia" w:ascii="仿宋_GB2312" w:hAnsi="宋体" w:cs="Times New Roman"/>
          <w:color w:val="auto"/>
          <w:szCs w:val="32"/>
          <w:u w:val="none"/>
        </w:rPr>
        <w:t>（2）系统运行达到招标技术要求并通过甲方组织的专家评审；</w:t>
      </w:r>
    </w:p>
    <w:p w14:paraId="1CA71328">
      <w:pPr>
        <w:spacing w:line="560" w:lineRule="exact"/>
        <w:jc w:val="left"/>
        <w:rPr>
          <w:rFonts w:ascii="仿宋_GB2312" w:hAnsi="宋体" w:cs="Times New Roman"/>
          <w:color w:val="auto"/>
          <w:szCs w:val="32"/>
          <w:u w:val="none"/>
        </w:rPr>
      </w:pPr>
      <w:r>
        <w:rPr>
          <w:rFonts w:hint="eastAsia" w:ascii="仿宋_GB2312" w:hAnsi="宋体" w:cs="Times New Roman"/>
          <w:color w:val="auto"/>
          <w:szCs w:val="32"/>
          <w:u w:val="none"/>
        </w:rPr>
        <w:t>（3）在规定时间内完成交付并由甲方组织验收小组进行验收，并经验收小组签字确认；</w:t>
      </w:r>
    </w:p>
    <w:p w14:paraId="76715E6D">
      <w:pPr>
        <w:spacing w:line="560" w:lineRule="exact"/>
        <w:jc w:val="left"/>
        <w:rPr>
          <w:rFonts w:ascii="仿宋_GB2312" w:hAnsi="宋体" w:cs="Times New Roman"/>
          <w:color w:val="auto"/>
          <w:szCs w:val="32"/>
          <w:u w:val="none"/>
        </w:rPr>
      </w:pPr>
      <w:r>
        <w:rPr>
          <w:rFonts w:hint="eastAsia" w:ascii="仿宋_GB2312" w:hAnsi="宋体" w:cs="Times New Roman"/>
          <w:color w:val="auto"/>
          <w:szCs w:val="32"/>
          <w:u w:val="none"/>
        </w:rPr>
        <w:t>（4）验收不合格或不符合本项目质量与技术要求的，招标人书面通知中标人限期整改，中标人应无条件退货和返工。若中标人未按时完成整改或整改后再次验收仍不合格的，招标人有权终止合同。由此对招标人造成损失的，由中标人承担一切责任，并赔偿招标人的相关损失。</w:t>
      </w:r>
    </w:p>
    <w:p w14:paraId="0A45FDD6">
      <w:pPr>
        <w:spacing w:line="560" w:lineRule="exact"/>
        <w:jc w:val="left"/>
        <w:rPr>
          <w:rFonts w:ascii="仿宋_GB2312" w:hAnsi="宋体" w:cs="Times New Roman"/>
          <w:color w:val="auto"/>
          <w:szCs w:val="32"/>
          <w:u w:val="none"/>
        </w:rPr>
      </w:pPr>
      <w:r>
        <w:rPr>
          <w:rFonts w:hint="eastAsia" w:ascii="仿宋_GB2312" w:hAnsi="宋体" w:cs="Times New Roman"/>
          <w:color w:val="auto"/>
          <w:szCs w:val="32"/>
          <w:u w:val="none"/>
        </w:rPr>
        <w:t>2．违约责任</w:t>
      </w:r>
    </w:p>
    <w:p w14:paraId="1D0447A7">
      <w:pPr>
        <w:spacing w:line="560" w:lineRule="exact"/>
        <w:jc w:val="left"/>
        <w:rPr>
          <w:rFonts w:ascii="仿宋_GB2312" w:hAnsi="宋体" w:cs="Times New Roman"/>
          <w:color w:val="auto"/>
          <w:szCs w:val="32"/>
          <w:u w:val="none"/>
        </w:rPr>
      </w:pPr>
      <w:r>
        <w:rPr>
          <w:rFonts w:hint="eastAsia" w:ascii="仿宋_GB2312" w:hAnsi="宋体" w:cs="Times New Roman"/>
          <w:color w:val="auto"/>
          <w:szCs w:val="32"/>
          <w:u w:val="none"/>
        </w:rPr>
        <w:t>（1）乙方未经甲方同意而延期交货时，应当向甲方偿付违约金，违约金每天按合同金额的1‰计算，违约金最高限额为违约总金额的5%。如果达到违约金最高限额时仍不能交货，或交货时间影响甲方任务实施，甲方可以终止合同，而由此给甲方造成的实际损失，乙方应当给予足额赔偿。</w:t>
      </w:r>
    </w:p>
    <w:p w14:paraId="5377D2F4">
      <w:pPr>
        <w:spacing w:line="560" w:lineRule="exact"/>
        <w:jc w:val="left"/>
        <w:rPr>
          <w:rFonts w:ascii="仿宋_GB2312" w:hAnsi="宋体" w:cs="Times New Roman"/>
          <w:color w:val="auto"/>
          <w:szCs w:val="32"/>
          <w:u w:val="none"/>
        </w:rPr>
      </w:pPr>
      <w:r>
        <w:rPr>
          <w:rFonts w:hint="eastAsia" w:ascii="仿宋_GB2312" w:hAnsi="宋体" w:cs="Times New Roman"/>
          <w:color w:val="auto"/>
          <w:szCs w:val="32"/>
          <w:u w:val="none"/>
        </w:rPr>
        <w:t>（2）乙方未按合同约定履行服务义务或产品技术性能指标不达标而给甲方或产品使用单位造成损失的，乙方要按损失金额予以赔偿。</w:t>
      </w:r>
    </w:p>
    <w:p w14:paraId="093D93B9">
      <w:pPr>
        <w:spacing w:line="560" w:lineRule="exact"/>
        <w:jc w:val="left"/>
        <w:rPr>
          <w:rFonts w:ascii="仿宋_GB2312" w:hAnsi="宋体" w:cs="Times New Roman"/>
          <w:color w:val="auto"/>
          <w:szCs w:val="32"/>
          <w:u w:val="none"/>
        </w:rPr>
      </w:pPr>
      <w:r>
        <w:rPr>
          <w:rFonts w:hint="eastAsia" w:ascii="仿宋_GB2312" w:hAnsi="宋体" w:cs="Times New Roman"/>
          <w:color w:val="auto"/>
          <w:szCs w:val="32"/>
          <w:u w:val="none"/>
        </w:rPr>
        <w:t>（3）甲方需按约定及时足额支付货款，未按约定及时足额支付货款时，每迟付一天按违约金额1‰向乙方偿付违约金，违约金最高限额为违约总金额的5%。</w:t>
      </w:r>
    </w:p>
    <w:p w14:paraId="751D3DF7">
      <w:pPr>
        <w:spacing w:line="560" w:lineRule="exact"/>
        <w:jc w:val="left"/>
        <w:rPr>
          <w:rFonts w:ascii="仿宋_GB2312" w:hAnsi="宋体" w:cs="Times New Roman"/>
          <w:color w:val="auto"/>
          <w:szCs w:val="32"/>
          <w:u w:val="none"/>
        </w:rPr>
      </w:pPr>
      <w:r>
        <w:rPr>
          <w:rFonts w:hint="eastAsia" w:ascii="仿宋_GB2312" w:hAnsi="宋体" w:cs="Times New Roman"/>
          <w:color w:val="auto"/>
          <w:szCs w:val="32"/>
          <w:u w:val="none"/>
        </w:rPr>
        <w:t>3．争议处理</w:t>
      </w:r>
    </w:p>
    <w:p w14:paraId="22EB24B1">
      <w:pPr>
        <w:spacing w:line="560" w:lineRule="exact"/>
        <w:jc w:val="left"/>
        <w:rPr>
          <w:rFonts w:ascii="仿宋_GB2312" w:hAnsi="宋体" w:cs="Times New Roman"/>
          <w:color w:val="auto"/>
          <w:szCs w:val="32"/>
          <w:u w:val="none"/>
        </w:rPr>
      </w:pPr>
      <w:r>
        <w:rPr>
          <w:rFonts w:hint="eastAsia" w:ascii="仿宋_GB2312" w:hAnsi="宋体" w:cs="Times New Roman"/>
          <w:color w:val="auto"/>
          <w:szCs w:val="32"/>
          <w:u w:val="none"/>
        </w:rPr>
        <w:t>合同履行过程中，发生争议时，按照下列方式解决：</w:t>
      </w:r>
    </w:p>
    <w:p w14:paraId="488ED7A1">
      <w:pPr>
        <w:spacing w:line="560" w:lineRule="exact"/>
        <w:jc w:val="left"/>
        <w:rPr>
          <w:rFonts w:ascii="仿宋_GB2312" w:hAnsi="宋体" w:cs="Times New Roman"/>
          <w:color w:val="auto"/>
          <w:szCs w:val="32"/>
          <w:u w:val="none"/>
        </w:rPr>
      </w:pPr>
      <w:r>
        <w:rPr>
          <w:rFonts w:hint="eastAsia" w:ascii="仿宋_GB2312" w:hAnsi="宋体" w:cs="Times New Roman"/>
          <w:color w:val="auto"/>
          <w:szCs w:val="32"/>
          <w:u w:val="none"/>
        </w:rPr>
        <w:t>（1）甲乙双方协商解决。</w:t>
      </w:r>
    </w:p>
    <w:p w14:paraId="35AA99F8">
      <w:pPr>
        <w:spacing w:line="560" w:lineRule="exact"/>
        <w:jc w:val="left"/>
        <w:rPr>
          <w:rFonts w:ascii="仿宋_GB2312" w:hAnsi="宋体" w:cs="Times New Roman"/>
          <w:color w:val="auto"/>
          <w:szCs w:val="32"/>
          <w:u w:val="none"/>
        </w:rPr>
      </w:pPr>
      <w:r>
        <w:rPr>
          <w:rFonts w:hint="eastAsia" w:ascii="仿宋_GB2312" w:hAnsi="宋体" w:cs="Times New Roman"/>
          <w:color w:val="auto"/>
          <w:szCs w:val="32"/>
          <w:u w:val="none"/>
        </w:rPr>
        <w:t>（2）协商不一致的，甲方或者乙方向本项目采购服务站反映情况，请求第一次调解处理；第一次调解不成功的，向甲方采购管理部门请求第二次调解处理。</w:t>
      </w:r>
    </w:p>
    <w:p w14:paraId="4CFFDE38">
      <w:pPr>
        <w:spacing w:line="560" w:lineRule="exact"/>
        <w:jc w:val="left"/>
        <w:rPr>
          <w:rFonts w:ascii="仿宋_GB2312" w:hAnsi="宋体" w:cs="Times New Roman"/>
          <w:color w:val="auto"/>
          <w:szCs w:val="32"/>
          <w:u w:val="none"/>
        </w:rPr>
      </w:pPr>
      <w:r>
        <w:rPr>
          <w:rFonts w:hint="eastAsia" w:ascii="仿宋_GB2312" w:hAnsi="宋体" w:cs="Times New Roman"/>
          <w:color w:val="auto"/>
          <w:szCs w:val="32"/>
          <w:u w:val="none"/>
        </w:rPr>
        <w:t>（3）调解不成功的，甲方或者乙方应向甲方所在地的仲裁机构申请仲裁，或者向甲方所在地的人民法院提起诉讼。仲裁费、诉讼费由承担责任的一方承担。在仲裁、诉讼期间，除正在仲裁、诉讼的部分外，合同的其他部分应继续执行。</w:t>
      </w:r>
    </w:p>
    <w:p w14:paraId="60610AED">
      <w:pPr>
        <w:spacing w:line="560" w:lineRule="exact"/>
        <w:jc w:val="left"/>
        <w:rPr>
          <w:rFonts w:ascii="仿宋_GB2312" w:hAnsi="宋体" w:cs="Times New Roman"/>
          <w:color w:val="auto"/>
          <w:szCs w:val="32"/>
          <w:u w:val="none"/>
        </w:rPr>
      </w:pPr>
      <w:r>
        <w:rPr>
          <w:rFonts w:hint="eastAsia" w:ascii="仿宋_GB2312" w:hAnsi="宋体" w:cs="Times New Roman"/>
          <w:color w:val="auto"/>
          <w:szCs w:val="32"/>
          <w:u w:val="none"/>
        </w:rPr>
        <w:t>4．保密和专利权要求</w:t>
      </w:r>
    </w:p>
    <w:p w14:paraId="0EE1F6A6">
      <w:pPr>
        <w:spacing w:line="560" w:lineRule="exact"/>
        <w:jc w:val="left"/>
        <w:rPr>
          <w:rFonts w:ascii="仿宋_GB2312" w:hAnsi="宋体" w:cs="Times New Roman"/>
          <w:color w:val="auto"/>
          <w:szCs w:val="32"/>
          <w:u w:val="none"/>
        </w:rPr>
      </w:pPr>
      <w:r>
        <w:rPr>
          <w:rFonts w:hint="eastAsia" w:ascii="仿宋_GB2312" w:hAnsi="宋体" w:cs="Times New Roman"/>
          <w:color w:val="auto"/>
          <w:szCs w:val="32"/>
          <w:u w:val="none"/>
        </w:rPr>
        <w:t>投标供应商应保证甲方及其他使用单位在使用本项目软件系统或其任何一部分时，不受第三方侵权指控。同时，投标供应商不得向第三方泄露采购机构提供的技术文件等资料。</w:t>
      </w:r>
    </w:p>
    <w:p w14:paraId="0419B087">
      <w:pPr>
        <w:spacing w:line="560" w:lineRule="exact"/>
        <w:jc w:val="left"/>
        <w:rPr>
          <w:rFonts w:ascii="仿宋_GB2312" w:hAnsi="宋体" w:cs="Times New Roman"/>
          <w:color w:val="auto"/>
          <w:szCs w:val="32"/>
          <w:u w:val="none"/>
        </w:rPr>
      </w:pPr>
      <w:r>
        <w:rPr>
          <w:rFonts w:hint="eastAsia" w:ascii="仿宋_GB2312" w:hAnsi="宋体" w:cs="Times New Roman"/>
          <w:color w:val="auto"/>
          <w:szCs w:val="32"/>
          <w:u w:val="none"/>
        </w:rPr>
        <w:t>5．是否允许合同分包</w:t>
      </w:r>
    </w:p>
    <w:p w14:paraId="4BD106FF">
      <w:pPr>
        <w:spacing w:line="560" w:lineRule="exact"/>
        <w:rPr>
          <w:rFonts w:ascii="仿宋_GB2312" w:hAnsi="宋体" w:cs="Times New Roman"/>
          <w:color w:val="auto"/>
          <w:szCs w:val="32"/>
          <w:u w:val="none"/>
        </w:rPr>
      </w:pPr>
      <w:r>
        <w:rPr>
          <w:rFonts w:hint="eastAsia" w:ascii="仿宋_GB2312" w:hAnsi="宋体" w:cs="Times New Roman"/>
          <w:color w:val="auto"/>
          <w:szCs w:val="32"/>
          <w:u w:val="none"/>
        </w:rPr>
        <w:t>本项目不允许合同分包。</w:t>
      </w:r>
    </w:p>
    <w:p w14:paraId="385DCFDA">
      <w:pPr>
        <w:pStyle w:val="2"/>
        <w:rPr>
          <w:color w:val="auto"/>
          <w:u w:val="none"/>
        </w:rPr>
      </w:pPr>
      <w:r>
        <w:rPr>
          <w:rFonts w:hint="eastAsia"/>
          <w:color w:val="auto"/>
          <w:u w:val="none"/>
        </w:rPr>
        <w:t>七、安全保密措施</w:t>
      </w:r>
    </w:p>
    <w:p w14:paraId="2F30E21A">
      <w:pPr>
        <w:spacing w:line="560" w:lineRule="exact"/>
        <w:jc w:val="left"/>
        <w:rPr>
          <w:rFonts w:ascii="仿宋_GB2312" w:hAnsi="宋体" w:cs="Times New Roman"/>
          <w:color w:val="auto"/>
          <w:szCs w:val="32"/>
          <w:u w:val="none"/>
        </w:rPr>
      </w:pPr>
      <w:r>
        <w:rPr>
          <w:rFonts w:hint="eastAsia" w:ascii="仿宋_GB2312" w:hAnsi="宋体" w:cs="Times New Roman"/>
          <w:color w:val="auto"/>
          <w:szCs w:val="32"/>
          <w:u w:val="none"/>
        </w:rPr>
        <w:t>供应商需与采购方签订保密协议，明确保密的范围、责任、期限和违约责任。</w:t>
      </w:r>
    </w:p>
    <w:p w14:paraId="3D394603">
      <w:pPr>
        <w:spacing w:line="560" w:lineRule="exact"/>
        <w:jc w:val="left"/>
        <w:rPr>
          <w:rFonts w:ascii="仿宋_GB2312" w:hAnsi="宋体" w:cs="Times New Roman"/>
          <w:color w:val="auto"/>
          <w:szCs w:val="32"/>
          <w:u w:val="none"/>
        </w:rPr>
      </w:pPr>
    </w:p>
    <w:p w14:paraId="187C35E2">
      <w:pPr>
        <w:spacing w:line="560" w:lineRule="exact"/>
        <w:rPr>
          <w:rFonts w:ascii="仿宋_GB2312" w:hAnsi="宋体" w:cs="Times New Roman"/>
          <w:color w:val="auto"/>
          <w:szCs w:val="32"/>
          <w:u w:val="none"/>
        </w:rPr>
      </w:pPr>
    </w:p>
    <w:p w14:paraId="6DA33A96">
      <w:pPr>
        <w:rPr>
          <w:color w:val="auto"/>
          <w:u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7DAE72-B841-4308-9A6E-A4511FE3FB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18188A5-2325-432C-862F-955CBD6EB2D2}"/>
  </w:font>
  <w:font w:name="仿宋_GB2312">
    <w:panose1 w:val="02010609030101010101"/>
    <w:charset w:val="86"/>
    <w:family w:val="modern"/>
    <w:pitch w:val="default"/>
    <w:sig w:usb0="00000001" w:usb1="080E0000" w:usb2="00000000" w:usb3="00000000" w:csb0="00040000" w:csb1="00000000"/>
    <w:embedRegular r:id="rId3" w:fontKey="{9484BBA0-A6D0-44F2-BF22-85471AC2ECD6}"/>
  </w:font>
  <w:font w:name="楷体_GB2312">
    <w:panose1 w:val="02010609030101010101"/>
    <w:charset w:val="86"/>
    <w:family w:val="modern"/>
    <w:pitch w:val="default"/>
    <w:sig w:usb0="00000001" w:usb1="080E0000" w:usb2="00000000" w:usb3="00000000" w:csb0="00040000" w:csb1="00000000"/>
    <w:embedRegular r:id="rId4" w:fontKey="{458DCF0D-9F82-4B95-AEC8-3D026BA91039}"/>
  </w:font>
  <w:font w:name="方正小标宋简体">
    <w:panose1 w:val="03000509000000000000"/>
    <w:charset w:val="86"/>
    <w:family w:val="script"/>
    <w:pitch w:val="default"/>
    <w:sig w:usb0="00000001" w:usb1="080E0000" w:usb2="00000000" w:usb3="00000000" w:csb0="00040000" w:csb1="00000000"/>
    <w:embedRegular r:id="rId5" w:fontKey="{FDCF3975-B0A6-42C5-947D-DF36593E46FF}"/>
  </w:font>
  <w:font w:name="仿宋">
    <w:panose1 w:val="02010609060101010101"/>
    <w:charset w:val="86"/>
    <w:family w:val="modern"/>
    <w:pitch w:val="default"/>
    <w:sig w:usb0="800002BF" w:usb1="38CF7CFA" w:usb2="00000016" w:usb3="00000000" w:csb0="00040001" w:csb1="00000000"/>
    <w:embedRegular r:id="rId6" w:fontKey="{D660E871-FB69-4853-BD71-F864AE5FDA1F}"/>
  </w:font>
  <w:font w:name="楷体">
    <w:panose1 w:val="02010609060101010101"/>
    <w:charset w:val="86"/>
    <w:family w:val="modern"/>
    <w:pitch w:val="default"/>
    <w:sig w:usb0="800002BF" w:usb1="38CF7CFA" w:usb2="00000016" w:usb3="00000000" w:csb0="00040001" w:csb1="00000000"/>
    <w:embedRegular r:id="rId7" w:fontKey="{13012035-D13E-48DF-BBA0-31C010CB225D}"/>
  </w:font>
  <w:font w:name="Helvetica">
    <w:altName w:val="Arial"/>
    <w:panose1 w:val="020B0604020202020204"/>
    <w:charset w:val="00"/>
    <w:family w:val="swiss"/>
    <w:pitch w:val="default"/>
    <w:sig w:usb0="00000000" w:usb1="00000000" w:usb2="00000009" w:usb3="00000000" w:csb0="000001FF" w:csb1="00000000"/>
    <w:embedRegular r:id="rId8" w:fontKey="{DEF85469-31D2-435F-AAE8-E2D0E6B3033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CFED9">
    <w:pPr>
      <w:pStyle w:val="13"/>
      <w:ind w:firstLine="480"/>
      <w:jc w:val="right"/>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BA325"/>
    <w:multiLevelType w:val="singleLevel"/>
    <w:tmpl w:val="838BA325"/>
    <w:lvl w:ilvl="0" w:tentative="0">
      <w:start w:val="1"/>
      <w:numFmt w:val="bullet"/>
      <w:lvlText w:val=""/>
      <w:lvlJc w:val="left"/>
      <w:pPr>
        <w:ind w:left="420" w:hanging="420"/>
      </w:pPr>
      <w:rPr>
        <w:rFonts w:hint="default" w:ascii="Wingdings" w:hAnsi="Wingdings"/>
      </w:rPr>
    </w:lvl>
  </w:abstractNum>
  <w:abstractNum w:abstractNumId="1">
    <w:nsid w:val="8AF2498A"/>
    <w:multiLevelType w:val="multilevel"/>
    <w:tmpl w:val="8AF2498A"/>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pStyle w:val="33"/>
      <w:lvlText w:val="%1.%2.%3."/>
      <w:lvlJc w:val="left"/>
      <w:pPr>
        <w:ind w:left="709" w:hanging="709"/>
      </w:pPr>
      <w:rPr>
        <w:rFonts w:hint="default"/>
      </w:rPr>
    </w:lvl>
    <w:lvl w:ilvl="3" w:tentative="0">
      <w:start w:val="1"/>
      <w:numFmt w:val="decimal"/>
      <w:lvlText w:val="%1.%2.%3.%4."/>
      <w:lvlJc w:val="left"/>
      <w:pPr>
        <w:ind w:left="850" w:hanging="850"/>
      </w:pPr>
      <w:rPr>
        <w:rFonts w:hint="default" w:ascii="黑体" w:hAnsi="黑体" w:eastAsia="黑体" w:cs="黑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FCCF047C"/>
    <w:multiLevelType w:val="singleLevel"/>
    <w:tmpl w:val="FCCF047C"/>
    <w:lvl w:ilvl="0" w:tentative="0">
      <w:start w:val="10"/>
      <w:numFmt w:val="chineseCounting"/>
      <w:suff w:val="nothing"/>
      <w:lvlText w:val="（%1）"/>
      <w:lvlJc w:val="left"/>
      <w:rPr>
        <w:rFonts w:hint="eastAsia"/>
      </w:rPr>
    </w:lvl>
  </w:abstractNum>
  <w:abstractNum w:abstractNumId="3">
    <w:nsid w:val="19D2414D"/>
    <w:multiLevelType w:val="multilevel"/>
    <w:tmpl w:val="19D2414D"/>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
    <w:nsid w:val="23E958A4"/>
    <w:multiLevelType w:val="multilevel"/>
    <w:tmpl w:val="23E958A4"/>
    <w:lvl w:ilvl="0" w:tentative="0">
      <w:start w:val="1"/>
      <w:numFmt w:val="decimal"/>
      <w:suff w:val="nothing"/>
      <w:lvlText w:val="%1."/>
      <w:lvlJc w:val="left"/>
      <w:pPr>
        <w:ind w:left="0" w:firstLine="0"/>
      </w:pPr>
      <w:rPr>
        <w:rFonts w:hint="eastAsia" w:ascii="黑体" w:hAnsi="黑体" w:eastAsia="黑体"/>
        <w:sz w:val="28"/>
      </w:rPr>
    </w:lvl>
    <w:lvl w:ilvl="1" w:tentative="0">
      <w:start w:val="1"/>
      <w:numFmt w:val="decimal"/>
      <w:pStyle w:val="3"/>
      <w:suff w:val="nothing"/>
      <w:lvlText w:val="%1.%2"/>
      <w:lvlJc w:val="left"/>
      <w:pPr>
        <w:ind w:left="0" w:firstLine="0"/>
      </w:pPr>
      <w:rPr>
        <w:rFonts w:hint="eastAsia" w:ascii="楷体_GB2312" w:eastAsia="楷体_GB2312"/>
        <w:sz w:val="28"/>
      </w:rPr>
    </w:lvl>
    <w:lvl w:ilvl="2" w:tentative="0">
      <w:start w:val="1"/>
      <w:numFmt w:val="decimal"/>
      <w:pStyle w:val="4"/>
      <w:suff w:val="nothing"/>
      <w:lvlText w:val="%1.%2.%3"/>
      <w:lvlJc w:val="left"/>
      <w:pPr>
        <w:ind w:left="0" w:firstLine="0"/>
      </w:pPr>
      <w:rPr>
        <w:rFonts w:hint="default" w:ascii="黑体" w:hAnsi="黑体" w:eastAsia="黑体" w:cs="黑体"/>
        <w:sz w:val="28"/>
      </w:rPr>
    </w:lvl>
    <w:lvl w:ilvl="3" w:tentative="0">
      <w:start w:val="1"/>
      <w:numFmt w:val="decimal"/>
      <w:suff w:val="nothing"/>
      <w:lvlText w:val="%1.%2.%3.%4"/>
      <w:lvlJc w:val="left"/>
      <w:pPr>
        <w:ind w:left="0" w:firstLine="0"/>
      </w:pPr>
      <w:rPr>
        <w:rFonts w:hint="eastAsia" w:ascii="仿宋_GB2312" w:eastAsia="仿宋_GB2312"/>
        <w:sz w:val="28"/>
      </w:rPr>
    </w:lvl>
    <w:lvl w:ilvl="4" w:tentative="0">
      <w:start w:val="1"/>
      <w:numFmt w:val="decimal"/>
      <w:suff w:val="nothing"/>
      <w:lvlText w:val="%1.%2.%3.%4.%5"/>
      <w:lvlJc w:val="left"/>
      <w:pPr>
        <w:ind w:left="0" w:firstLine="0"/>
      </w:pPr>
      <w:rPr>
        <w:rFonts w:hint="eastAsia" w:ascii="仿宋_GB2312" w:eastAsia="仿宋_GB2312"/>
        <w:sz w:val="28"/>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D5B6800"/>
    <w:multiLevelType w:val="singleLevel"/>
    <w:tmpl w:val="2D5B6800"/>
    <w:lvl w:ilvl="0" w:tentative="0">
      <w:start w:val="2"/>
      <w:numFmt w:val="decimal"/>
      <w:suff w:val="nothing"/>
      <w:lvlText w:val="（%1）"/>
      <w:lvlJc w:val="left"/>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NzU5ZTc4YTNhNDJmMDI2ODk4ZGM0ZTBkMjg5ZjcifQ=="/>
  </w:docVars>
  <w:rsids>
    <w:rsidRoot w:val="00E70FE1"/>
    <w:rsid w:val="000D1EA4"/>
    <w:rsid w:val="001F0E55"/>
    <w:rsid w:val="002136A1"/>
    <w:rsid w:val="0025342E"/>
    <w:rsid w:val="002C04FF"/>
    <w:rsid w:val="002C6F7D"/>
    <w:rsid w:val="00357715"/>
    <w:rsid w:val="00375EE7"/>
    <w:rsid w:val="00441157"/>
    <w:rsid w:val="00461EF9"/>
    <w:rsid w:val="004B7A59"/>
    <w:rsid w:val="004E1A90"/>
    <w:rsid w:val="00542B80"/>
    <w:rsid w:val="0056093B"/>
    <w:rsid w:val="0057601B"/>
    <w:rsid w:val="006755A6"/>
    <w:rsid w:val="006A34C4"/>
    <w:rsid w:val="006A3A51"/>
    <w:rsid w:val="00731A03"/>
    <w:rsid w:val="00746E37"/>
    <w:rsid w:val="00844285"/>
    <w:rsid w:val="00867D22"/>
    <w:rsid w:val="008A3319"/>
    <w:rsid w:val="008C21B5"/>
    <w:rsid w:val="008D17D7"/>
    <w:rsid w:val="008F63C3"/>
    <w:rsid w:val="009C5EC1"/>
    <w:rsid w:val="00A30790"/>
    <w:rsid w:val="00A52D92"/>
    <w:rsid w:val="00AE5BA9"/>
    <w:rsid w:val="00AE7669"/>
    <w:rsid w:val="00B00555"/>
    <w:rsid w:val="00C34DAD"/>
    <w:rsid w:val="00C40D76"/>
    <w:rsid w:val="00C9321E"/>
    <w:rsid w:val="00D000BA"/>
    <w:rsid w:val="00D95AB2"/>
    <w:rsid w:val="00E60DE2"/>
    <w:rsid w:val="00E70FE1"/>
    <w:rsid w:val="00ED0635"/>
    <w:rsid w:val="00F25CD2"/>
    <w:rsid w:val="00F26285"/>
    <w:rsid w:val="00FD79C1"/>
    <w:rsid w:val="016D7190"/>
    <w:rsid w:val="01D628BE"/>
    <w:rsid w:val="01EE5E5A"/>
    <w:rsid w:val="028B36A9"/>
    <w:rsid w:val="02C1356F"/>
    <w:rsid w:val="03215DBB"/>
    <w:rsid w:val="0328714A"/>
    <w:rsid w:val="033D3914"/>
    <w:rsid w:val="03632FF4"/>
    <w:rsid w:val="042A6EF2"/>
    <w:rsid w:val="04364A1D"/>
    <w:rsid w:val="04516DE9"/>
    <w:rsid w:val="057E12A3"/>
    <w:rsid w:val="065169B7"/>
    <w:rsid w:val="07C1191B"/>
    <w:rsid w:val="07FC7B78"/>
    <w:rsid w:val="07FE2B6F"/>
    <w:rsid w:val="08632EFC"/>
    <w:rsid w:val="088E7A4F"/>
    <w:rsid w:val="08E9737B"/>
    <w:rsid w:val="08EA40C5"/>
    <w:rsid w:val="0958005D"/>
    <w:rsid w:val="09A67EDB"/>
    <w:rsid w:val="0AD876A7"/>
    <w:rsid w:val="0C264442"/>
    <w:rsid w:val="0C2F1549"/>
    <w:rsid w:val="0C3C5A14"/>
    <w:rsid w:val="0CBB2DDD"/>
    <w:rsid w:val="0CDD71F7"/>
    <w:rsid w:val="0D1F7146"/>
    <w:rsid w:val="0D2F0621"/>
    <w:rsid w:val="0D4C7ED9"/>
    <w:rsid w:val="0D630921"/>
    <w:rsid w:val="0D763340"/>
    <w:rsid w:val="0DCB52A1"/>
    <w:rsid w:val="0E4614E0"/>
    <w:rsid w:val="0E50132B"/>
    <w:rsid w:val="0E772D33"/>
    <w:rsid w:val="0EF80318"/>
    <w:rsid w:val="0F1B5DB5"/>
    <w:rsid w:val="0F29227F"/>
    <w:rsid w:val="0FFC3E38"/>
    <w:rsid w:val="100E747E"/>
    <w:rsid w:val="10881228"/>
    <w:rsid w:val="10C009C2"/>
    <w:rsid w:val="113134DD"/>
    <w:rsid w:val="13315BA7"/>
    <w:rsid w:val="13916645"/>
    <w:rsid w:val="13E6656F"/>
    <w:rsid w:val="1461070D"/>
    <w:rsid w:val="14A10867"/>
    <w:rsid w:val="14A34882"/>
    <w:rsid w:val="15211C4B"/>
    <w:rsid w:val="152D239E"/>
    <w:rsid w:val="15763D45"/>
    <w:rsid w:val="15853F88"/>
    <w:rsid w:val="15F176E2"/>
    <w:rsid w:val="15FA4976"/>
    <w:rsid w:val="15FC6940"/>
    <w:rsid w:val="16524266"/>
    <w:rsid w:val="1682323F"/>
    <w:rsid w:val="16F00AA0"/>
    <w:rsid w:val="17051401"/>
    <w:rsid w:val="173E19B4"/>
    <w:rsid w:val="17431B20"/>
    <w:rsid w:val="17451314"/>
    <w:rsid w:val="176409C5"/>
    <w:rsid w:val="179B0C5A"/>
    <w:rsid w:val="179D1A5D"/>
    <w:rsid w:val="17D912A0"/>
    <w:rsid w:val="17E5324E"/>
    <w:rsid w:val="184B7744"/>
    <w:rsid w:val="18C33A63"/>
    <w:rsid w:val="18D8087C"/>
    <w:rsid w:val="18E1003E"/>
    <w:rsid w:val="191F5A0F"/>
    <w:rsid w:val="19EE2A43"/>
    <w:rsid w:val="1A78612C"/>
    <w:rsid w:val="1ABC524B"/>
    <w:rsid w:val="1ABF2EDD"/>
    <w:rsid w:val="1AC704E3"/>
    <w:rsid w:val="1AE856E5"/>
    <w:rsid w:val="1AF3665E"/>
    <w:rsid w:val="1B1852C8"/>
    <w:rsid w:val="1B1E0845"/>
    <w:rsid w:val="1B701236"/>
    <w:rsid w:val="1B9E3C25"/>
    <w:rsid w:val="1C071B9A"/>
    <w:rsid w:val="1CC655B2"/>
    <w:rsid w:val="1CDD28FB"/>
    <w:rsid w:val="1CFF2872"/>
    <w:rsid w:val="1D17405F"/>
    <w:rsid w:val="1E0068A1"/>
    <w:rsid w:val="1E2B0007"/>
    <w:rsid w:val="1E827BFE"/>
    <w:rsid w:val="1E8E4165"/>
    <w:rsid w:val="1E957931"/>
    <w:rsid w:val="1FB77434"/>
    <w:rsid w:val="1FC102B2"/>
    <w:rsid w:val="1FD579ED"/>
    <w:rsid w:val="20191E9C"/>
    <w:rsid w:val="204D2838"/>
    <w:rsid w:val="20F72F63"/>
    <w:rsid w:val="211A411E"/>
    <w:rsid w:val="21453DE1"/>
    <w:rsid w:val="216B497A"/>
    <w:rsid w:val="21CB18BC"/>
    <w:rsid w:val="21DC5877"/>
    <w:rsid w:val="223F181A"/>
    <w:rsid w:val="228850B7"/>
    <w:rsid w:val="22CE2D90"/>
    <w:rsid w:val="23426C05"/>
    <w:rsid w:val="23906AC5"/>
    <w:rsid w:val="23AF4EE9"/>
    <w:rsid w:val="24062738"/>
    <w:rsid w:val="2409047A"/>
    <w:rsid w:val="2438774A"/>
    <w:rsid w:val="24FE5B05"/>
    <w:rsid w:val="254C2D14"/>
    <w:rsid w:val="257162D7"/>
    <w:rsid w:val="25C91C6F"/>
    <w:rsid w:val="25C94365"/>
    <w:rsid w:val="25F06F30"/>
    <w:rsid w:val="260E1D77"/>
    <w:rsid w:val="261A696E"/>
    <w:rsid w:val="263631A5"/>
    <w:rsid w:val="26830430"/>
    <w:rsid w:val="26D64C7B"/>
    <w:rsid w:val="27014291"/>
    <w:rsid w:val="27016CF5"/>
    <w:rsid w:val="271D7901"/>
    <w:rsid w:val="274850CB"/>
    <w:rsid w:val="27562E4F"/>
    <w:rsid w:val="27663BDC"/>
    <w:rsid w:val="27985D9D"/>
    <w:rsid w:val="285C326E"/>
    <w:rsid w:val="2864084C"/>
    <w:rsid w:val="28C82DCA"/>
    <w:rsid w:val="299F472D"/>
    <w:rsid w:val="2A383867"/>
    <w:rsid w:val="2AB63109"/>
    <w:rsid w:val="2B2838DB"/>
    <w:rsid w:val="2B406E77"/>
    <w:rsid w:val="2BBB474F"/>
    <w:rsid w:val="2BE21CDC"/>
    <w:rsid w:val="2BF35C97"/>
    <w:rsid w:val="2C780866"/>
    <w:rsid w:val="2C7A1F15"/>
    <w:rsid w:val="2CAA0A5A"/>
    <w:rsid w:val="2D616C31"/>
    <w:rsid w:val="2DBB0A37"/>
    <w:rsid w:val="2E026E87"/>
    <w:rsid w:val="2E1F0FC6"/>
    <w:rsid w:val="2E496043"/>
    <w:rsid w:val="2ED00512"/>
    <w:rsid w:val="2EE30245"/>
    <w:rsid w:val="2F2820FC"/>
    <w:rsid w:val="2F843CC3"/>
    <w:rsid w:val="2FCC2A87"/>
    <w:rsid w:val="30093CDB"/>
    <w:rsid w:val="301663F8"/>
    <w:rsid w:val="306058C5"/>
    <w:rsid w:val="30824CD8"/>
    <w:rsid w:val="30ED29E5"/>
    <w:rsid w:val="31462D0D"/>
    <w:rsid w:val="31E61491"/>
    <w:rsid w:val="31F1240B"/>
    <w:rsid w:val="32A10C55"/>
    <w:rsid w:val="32FE3FC1"/>
    <w:rsid w:val="335E1849"/>
    <w:rsid w:val="3381627F"/>
    <w:rsid w:val="33854BAB"/>
    <w:rsid w:val="33884F17"/>
    <w:rsid w:val="34074D73"/>
    <w:rsid w:val="348002E4"/>
    <w:rsid w:val="34990F5F"/>
    <w:rsid w:val="34BB30CA"/>
    <w:rsid w:val="34CF5910"/>
    <w:rsid w:val="34EC3BCC"/>
    <w:rsid w:val="34F86FC1"/>
    <w:rsid w:val="351146DE"/>
    <w:rsid w:val="35E713C3"/>
    <w:rsid w:val="36633A19"/>
    <w:rsid w:val="367E5C33"/>
    <w:rsid w:val="369A2F9E"/>
    <w:rsid w:val="373A57A1"/>
    <w:rsid w:val="37F336D7"/>
    <w:rsid w:val="383A316A"/>
    <w:rsid w:val="38673C95"/>
    <w:rsid w:val="3891486E"/>
    <w:rsid w:val="38C855EC"/>
    <w:rsid w:val="39253208"/>
    <w:rsid w:val="394538AA"/>
    <w:rsid w:val="394F0490"/>
    <w:rsid w:val="39535FC7"/>
    <w:rsid w:val="3A3C2EFF"/>
    <w:rsid w:val="3A7E1289"/>
    <w:rsid w:val="3AA0348E"/>
    <w:rsid w:val="3AB765DF"/>
    <w:rsid w:val="3B0D5881"/>
    <w:rsid w:val="3C4A342B"/>
    <w:rsid w:val="3CB66F99"/>
    <w:rsid w:val="3CE07B72"/>
    <w:rsid w:val="3D424389"/>
    <w:rsid w:val="3DA96EED"/>
    <w:rsid w:val="3DE23C97"/>
    <w:rsid w:val="3E75253C"/>
    <w:rsid w:val="3E95498C"/>
    <w:rsid w:val="3FBDB0CE"/>
    <w:rsid w:val="3FFA0F4B"/>
    <w:rsid w:val="407B14E8"/>
    <w:rsid w:val="40E65CAF"/>
    <w:rsid w:val="40FC00DE"/>
    <w:rsid w:val="410B7187"/>
    <w:rsid w:val="413E130B"/>
    <w:rsid w:val="41DE4A31"/>
    <w:rsid w:val="41E754E7"/>
    <w:rsid w:val="428D254A"/>
    <w:rsid w:val="42903DE8"/>
    <w:rsid w:val="438A2A14"/>
    <w:rsid w:val="44986F84"/>
    <w:rsid w:val="44C81A04"/>
    <w:rsid w:val="44ED65E6"/>
    <w:rsid w:val="458D460F"/>
    <w:rsid w:val="45D54D28"/>
    <w:rsid w:val="45FE550D"/>
    <w:rsid w:val="460348D1"/>
    <w:rsid w:val="460A3EB2"/>
    <w:rsid w:val="462211FB"/>
    <w:rsid w:val="46236D21"/>
    <w:rsid w:val="4633232C"/>
    <w:rsid w:val="46A55006"/>
    <w:rsid w:val="46E93AC7"/>
    <w:rsid w:val="471A45C8"/>
    <w:rsid w:val="47E0136E"/>
    <w:rsid w:val="48194880"/>
    <w:rsid w:val="483801C9"/>
    <w:rsid w:val="48696B7E"/>
    <w:rsid w:val="48C72033"/>
    <w:rsid w:val="49900B72"/>
    <w:rsid w:val="49A51EA5"/>
    <w:rsid w:val="4A5358A9"/>
    <w:rsid w:val="4C7675E4"/>
    <w:rsid w:val="4CC03573"/>
    <w:rsid w:val="4CD8042C"/>
    <w:rsid w:val="4CEC7D64"/>
    <w:rsid w:val="4D0619FF"/>
    <w:rsid w:val="4D1A70D0"/>
    <w:rsid w:val="4D6A174D"/>
    <w:rsid w:val="4D8C415B"/>
    <w:rsid w:val="4E314F2D"/>
    <w:rsid w:val="4E6879C7"/>
    <w:rsid w:val="4E9E163B"/>
    <w:rsid w:val="4EC52BBA"/>
    <w:rsid w:val="4F793D92"/>
    <w:rsid w:val="501752BA"/>
    <w:rsid w:val="5055041F"/>
    <w:rsid w:val="508807F5"/>
    <w:rsid w:val="50F43794"/>
    <w:rsid w:val="51E67581"/>
    <w:rsid w:val="53200FE5"/>
    <w:rsid w:val="53896B1D"/>
    <w:rsid w:val="539E4646"/>
    <w:rsid w:val="53A7353E"/>
    <w:rsid w:val="54232377"/>
    <w:rsid w:val="5447181A"/>
    <w:rsid w:val="546724CF"/>
    <w:rsid w:val="55169287"/>
    <w:rsid w:val="556829A3"/>
    <w:rsid w:val="55B17EA6"/>
    <w:rsid w:val="56C836F9"/>
    <w:rsid w:val="58BF6D7E"/>
    <w:rsid w:val="58C93F42"/>
    <w:rsid w:val="58F06F37"/>
    <w:rsid w:val="593B4656"/>
    <w:rsid w:val="59C4146C"/>
    <w:rsid w:val="5ABE4350"/>
    <w:rsid w:val="5AC468CD"/>
    <w:rsid w:val="5AE34FA5"/>
    <w:rsid w:val="5B857E0A"/>
    <w:rsid w:val="5C2C18DD"/>
    <w:rsid w:val="5C553C81"/>
    <w:rsid w:val="5CFA65D6"/>
    <w:rsid w:val="5DE11544"/>
    <w:rsid w:val="5E4E6BDA"/>
    <w:rsid w:val="5E84648A"/>
    <w:rsid w:val="5EBF3633"/>
    <w:rsid w:val="5EC7698C"/>
    <w:rsid w:val="5EE27322"/>
    <w:rsid w:val="5F7C32D2"/>
    <w:rsid w:val="5F9F5B8E"/>
    <w:rsid w:val="607C5AF0"/>
    <w:rsid w:val="616363F5"/>
    <w:rsid w:val="61693D2A"/>
    <w:rsid w:val="61873C5A"/>
    <w:rsid w:val="61F33579"/>
    <w:rsid w:val="627B3D15"/>
    <w:rsid w:val="635564BD"/>
    <w:rsid w:val="637E3833"/>
    <w:rsid w:val="63DF2082"/>
    <w:rsid w:val="641C5084"/>
    <w:rsid w:val="644B7717"/>
    <w:rsid w:val="645A610D"/>
    <w:rsid w:val="64803865"/>
    <w:rsid w:val="6548644D"/>
    <w:rsid w:val="658140EA"/>
    <w:rsid w:val="668A1631"/>
    <w:rsid w:val="672F4040"/>
    <w:rsid w:val="677B6565"/>
    <w:rsid w:val="67F3434E"/>
    <w:rsid w:val="68372D6E"/>
    <w:rsid w:val="68A67612"/>
    <w:rsid w:val="68A865B1"/>
    <w:rsid w:val="691A78CC"/>
    <w:rsid w:val="694C640B"/>
    <w:rsid w:val="69DF4B8A"/>
    <w:rsid w:val="6A2353BE"/>
    <w:rsid w:val="6B3233DF"/>
    <w:rsid w:val="6BC8789F"/>
    <w:rsid w:val="6C3867D3"/>
    <w:rsid w:val="6CD209D6"/>
    <w:rsid w:val="6CF22E26"/>
    <w:rsid w:val="6D57537F"/>
    <w:rsid w:val="6D8C3FA6"/>
    <w:rsid w:val="6D94212F"/>
    <w:rsid w:val="6DA46816"/>
    <w:rsid w:val="6DB14A8F"/>
    <w:rsid w:val="6DE45187"/>
    <w:rsid w:val="6E970129"/>
    <w:rsid w:val="6EF2710D"/>
    <w:rsid w:val="6FD2473F"/>
    <w:rsid w:val="714D13E5"/>
    <w:rsid w:val="718764F1"/>
    <w:rsid w:val="718F158B"/>
    <w:rsid w:val="71B529D6"/>
    <w:rsid w:val="71FC2E82"/>
    <w:rsid w:val="725A6B4C"/>
    <w:rsid w:val="725D3437"/>
    <w:rsid w:val="727C634F"/>
    <w:rsid w:val="72BC63B0"/>
    <w:rsid w:val="72E71732"/>
    <w:rsid w:val="72F80E64"/>
    <w:rsid w:val="738007A5"/>
    <w:rsid w:val="73AA3A48"/>
    <w:rsid w:val="73AA52DA"/>
    <w:rsid w:val="73E01C2A"/>
    <w:rsid w:val="73EF6013"/>
    <w:rsid w:val="73F51B39"/>
    <w:rsid w:val="74AD26CC"/>
    <w:rsid w:val="75654C49"/>
    <w:rsid w:val="75874327"/>
    <w:rsid w:val="75F5DD31"/>
    <w:rsid w:val="765E32DA"/>
    <w:rsid w:val="76E732D0"/>
    <w:rsid w:val="77560F22"/>
    <w:rsid w:val="77701517"/>
    <w:rsid w:val="77DE0B76"/>
    <w:rsid w:val="77F55EC0"/>
    <w:rsid w:val="77F57C6E"/>
    <w:rsid w:val="77FFC8B4"/>
    <w:rsid w:val="783E5D6E"/>
    <w:rsid w:val="78435188"/>
    <w:rsid w:val="78880AE2"/>
    <w:rsid w:val="78A321F4"/>
    <w:rsid w:val="795506F4"/>
    <w:rsid w:val="79BC628E"/>
    <w:rsid w:val="79F24465"/>
    <w:rsid w:val="7A1A7B68"/>
    <w:rsid w:val="7A3E58FC"/>
    <w:rsid w:val="7A85177D"/>
    <w:rsid w:val="7B22521E"/>
    <w:rsid w:val="7B43689E"/>
    <w:rsid w:val="7B7D67DF"/>
    <w:rsid w:val="7B8B68F2"/>
    <w:rsid w:val="7BAE78E8"/>
    <w:rsid w:val="7BE74C46"/>
    <w:rsid w:val="7C022614"/>
    <w:rsid w:val="7C1C1C6D"/>
    <w:rsid w:val="7C983988"/>
    <w:rsid w:val="7CF806FC"/>
    <w:rsid w:val="7D6951B5"/>
    <w:rsid w:val="7D8E494A"/>
    <w:rsid w:val="7DB639FC"/>
    <w:rsid w:val="7DB83C18"/>
    <w:rsid w:val="7E026C41"/>
    <w:rsid w:val="7E543940"/>
    <w:rsid w:val="7E8C147A"/>
    <w:rsid w:val="7EFF0420"/>
    <w:rsid w:val="7FBB1465"/>
    <w:rsid w:val="7FC06DB4"/>
    <w:rsid w:val="7FDD09E7"/>
    <w:rsid w:val="7FE02FB2"/>
    <w:rsid w:val="857FB334"/>
    <w:rsid w:val="B4CED2CB"/>
    <w:rsid w:val="B6FF7133"/>
    <w:rsid w:val="B7F8F747"/>
    <w:rsid w:val="BFE5E917"/>
    <w:rsid w:val="C5DF16BE"/>
    <w:rsid w:val="CD77E76A"/>
    <w:rsid w:val="D6FF9333"/>
    <w:rsid w:val="DAFFF198"/>
    <w:rsid w:val="DB7EFC2B"/>
    <w:rsid w:val="DFFBE570"/>
    <w:rsid w:val="E6FBFB29"/>
    <w:rsid w:val="EF0FDDDA"/>
    <w:rsid w:val="EF2BFF0F"/>
    <w:rsid w:val="F7BD4E7F"/>
    <w:rsid w:val="F9F3D134"/>
    <w:rsid w:val="FBF72616"/>
    <w:rsid w:val="FBFFECC2"/>
    <w:rsid w:val="FCB74F19"/>
    <w:rsid w:val="FCD538EC"/>
    <w:rsid w:val="FDAE6A5D"/>
    <w:rsid w:val="FEEBA89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640" w:firstLineChars="200"/>
      <w:jc w:val="both"/>
    </w:pPr>
    <w:rPr>
      <w:rFonts w:eastAsia="仿宋_GB2312" w:asciiTheme="minorHAnsi" w:hAnsiTheme="minorHAnsi" w:cstheme="minorBidi"/>
      <w:kern w:val="2"/>
      <w:sz w:val="32"/>
      <w:szCs w:val="22"/>
      <w:lang w:val="en-US" w:eastAsia="zh-CN" w:bidi="ar-SA"/>
    </w:rPr>
  </w:style>
  <w:style w:type="paragraph" w:styleId="2">
    <w:name w:val="heading 1"/>
    <w:next w:val="1"/>
    <w:qFormat/>
    <w:uiPriority w:val="9"/>
    <w:pPr>
      <w:keepNext/>
      <w:keepLines/>
      <w:spacing w:line="579" w:lineRule="exact"/>
      <w:ind w:firstLine="640" w:firstLineChars="200"/>
      <w:outlineLvl w:val="0"/>
    </w:pPr>
    <w:rPr>
      <w:rFonts w:eastAsia="黑体" w:cs="Times New Roman" w:asciiTheme="minorHAnsi" w:hAnsiTheme="minorHAnsi"/>
      <w:kern w:val="44"/>
      <w:sz w:val="32"/>
      <w:lang w:val="en-US" w:eastAsia="zh-CN" w:bidi="ar-SA"/>
    </w:rPr>
  </w:style>
  <w:style w:type="paragraph" w:styleId="3">
    <w:name w:val="heading 2"/>
    <w:next w:val="1"/>
    <w:qFormat/>
    <w:uiPriority w:val="0"/>
    <w:pPr>
      <w:keepNext/>
      <w:keepLines/>
      <w:numPr>
        <w:ilvl w:val="1"/>
        <w:numId w:val="1"/>
      </w:numPr>
      <w:spacing w:line="579" w:lineRule="exact"/>
      <w:ind w:firstLine="640" w:firstLineChars="200"/>
      <w:outlineLvl w:val="1"/>
    </w:pPr>
    <w:rPr>
      <w:rFonts w:ascii="楷体_GB2312" w:hAnsi="楷体_GB2312" w:eastAsia="楷体_GB2312" w:cs="Times New Roman"/>
      <w:sz w:val="32"/>
      <w:szCs w:val="28"/>
      <w:lang w:val="en-US" w:eastAsia="zh-CN" w:bidi="ar-SA"/>
    </w:rPr>
  </w:style>
  <w:style w:type="paragraph" w:styleId="4">
    <w:name w:val="heading 3"/>
    <w:next w:val="5"/>
    <w:qFormat/>
    <w:uiPriority w:val="0"/>
    <w:pPr>
      <w:keepNext/>
      <w:keepLines/>
      <w:numPr>
        <w:ilvl w:val="2"/>
        <w:numId w:val="1"/>
      </w:numPr>
      <w:spacing w:line="579" w:lineRule="exact"/>
      <w:outlineLvl w:val="2"/>
    </w:pPr>
    <w:rPr>
      <w:rFonts w:ascii="楷体_GB2312" w:hAnsi="楷体_GB2312" w:eastAsia="仿宋_GB2312" w:cs="Times New Roman"/>
      <w:sz w:val="28"/>
      <w:lang w:val="en-US" w:eastAsia="zh-CN" w:bidi="ar-SA"/>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7">
    <w:name w:val="heading 5"/>
    <w:next w:val="1"/>
    <w:unhideWhenUsed/>
    <w:qFormat/>
    <w:uiPriority w:val="9"/>
    <w:pPr>
      <w:keepNext/>
      <w:keepLines/>
      <w:spacing w:before="280" w:after="290" w:line="372" w:lineRule="auto"/>
      <w:outlineLvl w:val="4"/>
    </w:pPr>
    <w:rPr>
      <w:rFonts w:eastAsia="宋体" w:cs="Times New Roman" w:asciiTheme="minorHAnsi" w:hAnsiTheme="minorHAnsi"/>
      <w:b/>
      <w:sz w:val="28"/>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5">
    <w:name w:val="正文格式"/>
    <w:basedOn w:val="1"/>
    <w:qFormat/>
    <w:uiPriority w:val="0"/>
    <w:pPr>
      <w:snapToGrid w:val="0"/>
      <w:ind w:firstLine="560"/>
    </w:pPr>
    <w:rPr>
      <w:rFonts w:hint="eastAsia" w:ascii="仿宋_GB2312" w:hAnsi="仿宋_GB2312" w:cs="Times New Roman"/>
      <w:kern w:val="0"/>
      <w:szCs w:val="28"/>
    </w:rPr>
  </w:style>
  <w:style w:type="paragraph" w:styleId="8">
    <w:name w:val="Normal Indent"/>
    <w:basedOn w:val="1"/>
    <w:semiHidden/>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9">
    <w:name w:val="annotation text"/>
    <w:basedOn w:val="1"/>
    <w:semiHidden/>
    <w:unhideWhenUsed/>
    <w:qFormat/>
    <w:uiPriority w:val="99"/>
    <w:pPr>
      <w:jc w:val="left"/>
    </w:pPr>
  </w:style>
  <w:style w:type="paragraph" w:styleId="10">
    <w:name w:val="Body Text"/>
    <w:basedOn w:val="1"/>
    <w:link w:val="24"/>
    <w:semiHidden/>
    <w:unhideWhenUsed/>
    <w:qFormat/>
    <w:uiPriority w:val="99"/>
    <w:pPr>
      <w:spacing w:after="120"/>
    </w:pPr>
  </w:style>
  <w:style w:type="paragraph" w:styleId="11">
    <w:name w:val="Body Text Indent"/>
    <w:basedOn w:val="1"/>
    <w:semiHidden/>
    <w:unhideWhenUsed/>
    <w:qFormat/>
    <w:uiPriority w:val="99"/>
    <w:pPr>
      <w:spacing w:after="120"/>
      <w:ind w:left="420" w:leftChars="200"/>
    </w:pPr>
  </w:style>
  <w:style w:type="paragraph" w:styleId="12">
    <w:name w:val="Balloon Text"/>
    <w:basedOn w:val="1"/>
    <w:link w:val="27"/>
    <w:semiHidden/>
    <w:unhideWhenUsed/>
    <w:qFormat/>
    <w:uiPriority w:val="99"/>
    <w:rPr>
      <w:sz w:val="18"/>
      <w:szCs w:val="18"/>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semiHidden/>
    <w:unhideWhenUsed/>
    <w:qFormat/>
    <w:uiPriority w:val="99"/>
    <w:rPr>
      <w:sz w:val="24"/>
    </w:rPr>
  </w:style>
  <w:style w:type="paragraph" w:styleId="16">
    <w:name w:val="Body Text First Indent"/>
    <w:basedOn w:val="10"/>
    <w:link w:val="25"/>
    <w:qFormat/>
    <w:uiPriority w:val="99"/>
    <w:pPr>
      <w:spacing w:line="275" w:lineRule="atLeast"/>
      <w:ind w:firstLine="420"/>
      <w:textAlignment w:val="baseline"/>
    </w:pPr>
    <w:rPr>
      <w:rFonts w:ascii="Calibri" w:hAnsi="Calibri" w:eastAsia="宋体" w:cs="Times New Roman"/>
      <w:kern w:val="0"/>
      <w:sz w:val="24"/>
      <w:szCs w:val="24"/>
    </w:rPr>
  </w:style>
  <w:style w:type="paragraph" w:styleId="17">
    <w:name w:val="Body Text First Indent 2"/>
    <w:basedOn w:val="11"/>
    <w:qFormat/>
    <w:uiPriority w:val="0"/>
    <w:pPr>
      <w:autoSpaceDE w:val="0"/>
      <w:autoSpaceDN w:val="0"/>
      <w:adjustRightInd w:val="0"/>
      <w:spacing w:after="0"/>
      <w:ind w:left="0" w:leftChars="0" w:firstLine="420"/>
    </w:pPr>
    <w:rPr>
      <w:rFonts w:eastAsia="楷体_GB2312"/>
      <w:color w:val="FF0000"/>
      <w:sz w:val="28"/>
      <w:szCs w:val="28"/>
      <w:lang w:val="zh-CN"/>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customStyle="1" w:styleId="22">
    <w:name w:val="页眉 Char"/>
    <w:basedOn w:val="20"/>
    <w:link w:val="14"/>
    <w:qFormat/>
    <w:uiPriority w:val="99"/>
    <w:rPr>
      <w:sz w:val="18"/>
      <w:szCs w:val="18"/>
    </w:rPr>
  </w:style>
  <w:style w:type="character" w:customStyle="1" w:styleId="23">
    <w:name w:val="页脚 Char"/>
    <w:basedOn w:val="20"/>
    <w:link w:val="13"/>
    <w:qFormat/>
    <w:uiPriority w:val="99"/>
    <w:rPr>
      <w:sz w:val="18"/>
      <w:szCs w:val="18"/>
    </w:rPr>
  </w:style>
  <w:style w:type="character" w:customStyle="1" w:styleId="24">
    <w:name w:val="正文文本 Char"/>
    <w:basedOn w:val="20"/>
    <w:link w:val="10"/>
    <w:semiHidden/>
    <w:qFormat/>
    <w:uiPriority w:val="99"/>
  </w:style>
  <w:style w:type="character" w:customStyle="1" w:styleId="25">
    <w:name w:val="正文首行缩进 Char"/>
    <w:basedOn w:val="24"/>
    <w:link w:val="16"/>
    <w:qFormat/>
    <w:uiPriority w:val="99"/>
    <w:rPr>
      <w:rFonts w:ascii="Calibri" w:hAnsi="Calibri" w:eastAsia="宋体" w:cs="Times New Roman"/>
      <w:kern w:val="0"/>
      <w:sz w:val="24"/>
      <w:szCs w:val="24"/>
    </w:rPr>
  </w:style>
  <w:style w:type="paragraph" w:styleId="26">
    <w:name w:val="List Paragraph"/>
    <w:basedOn w:val="1"/>
    <w:qFormat/>
    <w:uiPriority w:val="34"/>
    <w:pPr>
      <w:ind w:firstLine="420"/>
    </w:pPr>
  </w:style>
  <w:style w:type="character" w:customStyle="1" w:styleId="27">
    <w:name w:val="批注框文本 Char"/>
    <w:basedOn w:val="20"/>
    <w:link w:val="12"/>
    <w:semiHidden/>
    <w:qFormat/>
    <w:uiPriority w:val="99"/>
    <w:rPr>
      <w:sz w:val="18"/>
      <w:szCs w:val="18"/>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0">
    <w:name w:val="font31"/>
    <w:basedOn w:val="20"/>
    <w:qFormat/>
    <w:uiPriority w:val="0"/>
    <w:rPr>
      <w:rFonts w:hint="default" w:ascii="Calibri" w:hAnsi="Calibri" w:cs="Calibri"/>
      <w:color w:val="FF0000"/>
      <w:sz w:val="21"/>
      <w:szCs w:val="21"/>
      <w:u w:val="none"/>
    </w:rPr>
  </w:style>
  <w:style w:type="character" w:customStyle="1" w:styleId="31">
    <w:name w:val="font21"/>
    <w:basedOn w:val="20"/>
    <w:qFormat/>
    <w:uiPriority w:val="0"/>
    <w:rPr>
      <w:rFonts w:hint="eastAsia" w:ascii="宋体" w:hAnsi="宋体" w:eastAsia="宋体" w:cs="宋体"/>
      <w:color w:val="FF0000"/>
      <w:sz w:val="21"/>
      <w:szCs w:val="21"/>
      <w:u w:val="none"/>
    </w:rPr>
  </w:style>
  <w:style w:type="character" w:customStyle="1" w:styleId="32">
    <w:name w:val="font11"/>
    <w:basedOn w:val="20"/>
    <w:qFormat/>
    <w:uiPriority w:val="0"/>
    <w:rPr>
      <w:rFonts w:hint="eastAsia" w:ascii="宋体" w:hAnsi="宋体" w:eastAsia="宋体" w:cs="宋体"/>
      <w:b/>
      <w:bCs/>
      <w:color w:val="FF0000"/>
      <w:sz w:val="21"/>
      <w:szCs w:val="21"/>
      <w:u w:val="none"/>
    </w:rPr>
  </w:style>
  <w:style w:type="paragraph" w:customStyle="1" w:styleId="33">
    <w:name w:val="标题6"/>
    <w:next w:val="1"/>
    <w:qFormat/>
    <w:uiPriority w:val="0"/>
    <w:pPr>
      <w:keepNext/>
      <w:keepLines/>
      <w:numPr>
        <w:ilvl w:val="2"/>
        <w:numId w:val="2"/>
      </w:numPr>
      <w:spacing w:before="280" w:after="290" w:line="579" w:lineRule="exact"/>
      <w:ind w:left="0" w:firstLine="0"/>
      <w:outlineLvl w:val="5"/>
    </w:pPr>
    <w:rPr>
      <w:rFonts w:hint="eastAsia" w:ascii="黑体" w:hAnsi="黑体" w:eastAsia="楷体_GB2312" w:cs="黑体"/>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29</Pages>
  <Words>13619</Words>
  <Characters>13884</Characters>
  <Lines>1</Lines>
  <Paragraphs>1</Paragraphs>
  <TotalTime>8</TotalTime>
  <ScaleCrop>false</ScaleCrop>
  <LinksUpToDate>false</LinksUpToDate>
  <CharactersWithSpaces>13977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2024-10-09T08:05:00Z</dcterms:created>
  <dc:creator>lenovo</dc:creator>
  <cp:lastModifiedBy>Administrator</cp:lastModifiedBy>
  <cp:lastPrinted>2024-10-08T18:24:00Z</cp:lastPrinted>
  <dcterms:modified xsi:type="dcterms:W3CDTF">2024-10-12T01:17:00Z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1FBE1434F703BCEE76E7086786A2C920_43</vt:lpwstr>
  </property>
</Properties>
</file>