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overflowPunct w:val="0"/>
        <w:spacing w:line="570" w:lineRule="exact"/>
        <w:rPr>
          <w:rFonts w:ascii="黑体" w:hAnsi="黑体" w:eastAsia="黑体" w:cs="宋体"/>
          <w:sz w:val="32"/>
          <w:szCs w:val="48"/>
        </w:rPr>
      </w:pPr>
      <w:r>
        <w:rPr>
          <w:rFonts w:hint="eastAsia" w:ascii="黑体" w:hAnsi="黑体" w:eastAsia="黑体" w:cs="宋体"/>
          <w:sz w:val="32"/>
          <w:szCs w:val="48"/>
        </w:rPr>
        <w:t>附件1</w:t>
      </w:r>
    </w:p>
    <w:p>
      <w:pPr>
        <w:pBdr>
          <w:top w:val="none" w:color="auto" w:sz="0" w:space="1"/>
          <w:left w:val="none" w:color="auto" w:sz="0" w:space="4"/>
          <w:bottom w:val="none" w:color="auto" w:sz="0" w:space="1"/>
          <w:right w:val="none" w:color="auto" w:sz="0" w:space="4"/>
        </w:pBdr>
        <w:overflowPunct w:val="0"/>
        <w:spacing w:before="221" w:beforeLines="50" w:after="221" w:afterLines="50" w:line="57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采购需求明细表</w:t>
      </w:r>
    </w:p>
    <w:p>
      <w:pPr>
        <w:pBdr>
          <w:top w:val="none" w:color="auto" w:sz="0" w:space="1"/>
          <w:left w:val="none" w:color="auto" w:sz="0" w:space="4"/>
          <w:bottom w:val="none" w:color="auto" w:sz="0" w:space="1"/>
          <w:right w:val="none" w:color="auto" w:sz="0" w:space="4"/>
        </w:pBdr>
        <w:overflowPunct w:val="0"/>
        <w:spacing w:before="221" w:beforeLines="50" w:after="221" w:afterLines="50" w:line="570" w:lineRule="exact"/>
        <w:rPr>
          <w:rFonts w:ascii="仿宋_GB2312" w:hAnsi="仿宋" w:eastAsia="仿宋_GB2312"/>
          <w:sz w:val="24"/>
          <w:szCs w:val="44"/>
        </w:rPr>
      </w:pPr>
    </w:p>
    <w:tbl>
      <w:tblPr>
        <w:tblStyle w:val="8"/>
        <w:tblW w:w="13021"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72"/>
        <w:gridCol w:w="743"/>
        <w:gridCol w:w="743"/>
        <w:gridCol w:w="1300"/>
        <w:gridCol w:w="1115"/>
        <w:gridCol w:w="1114"/>
        <w:gridCol w:w="1486"/>
        <w:gridCol w:w="1486"/>
        <w:gridCol w:w="1115"/>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61"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672"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项目及</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品种名称</w:t>
            </w:r>
          </w:p>
        </w:tc>
        <w:tc>
          <w:tcPr>
            <w:tcW w:w="743"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计量</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单位</w:t>
            </w:r>
          </w:p>
        </w:tc>
        <w:tc>
          <w:tcPr>
            <w:tcW w:w="743"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采购</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数量</w:t>
            </w:r>
          </w:p>
        </w:tc>
        <w:tc>
          <w:tcPr>
            <w:tcW w:w="1300"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单价</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（元）</w:t>
            </w:r>
          </w:p>
        </w:tc>
        <w:tc>
          <w:tcPr>
            <w:tcW w:w="1115"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预算</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金额</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 w:val="18"/>
                <w:szCs w:val="18"/>
              </w:rPr>
              <w:t>（万元）</w:t>
            </w:r>
          </w:p>
        </w:tc>
        <w:tc>
          <w:tcPr>
            <w:tcW w:w="1114"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最高</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限价</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 w:val="18"/>
                <w:szCs w:val="18"/>
              </w:rPr>
              <w:t>（万元）</w:t>
            </w:r>
          </w:p>
        </w:tc>
        <w:tc>
          <w:tcPr>
            <w:tcW w:w="1486"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交付</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（实施）</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时间</w:t>
            </w:r>
          </w:p>
        </w:tc>
        <w:tc>
          <w:tcPr>
            <w:tcW w:w="1486"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采购</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方式</w:t>
            </w:r>
          </w:p>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建议</w:t>
            </w:r>
          </w:p>
        </w:tc>
        <w:tc>
          <w:tcPr>
            <w:tcW w:w="1115"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推荐</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供应商</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名称</w:t>
            </w:r>
          </w:p>
        </w:tc>
        <w:tc>
          <w:tcPr>
            <w:tcW w:w="1486" w:type="dxa"/>
            <w:vAlign w:val="center"/>
          </w:tcPr>
          <w:p>
            <w:pPr>
              <w:pBdr>
                <w:top w:val="none" w:color="auto" w:sz="0" w:space="1"/>
                <w:left w:val="none" w:color="auto" w:sz="0" w:space="4"/>
                <w:bottom w:val="none" w:color="auto" w:sz="0" w:space="1"/>
                <w:right w:val="none" w:color="auto" w:sz="0" w:space="4"/>
              </w:pBdr>
              <w:overflowPunct w:val="0"/>
              <w:spacing w:line="3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61"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672"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国产化建设项目监理</w:t>
            </w:r>
          </w:p>
        </w:tc>
        <w:tc>
          <w:tcPr>
            <w:tcW w:w="743"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w:t>
            </w:r>
          </w:p>
        </w:tc>
        <w:tc>
          <w:tcPr>
            <w:tcW w:w="743"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300"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p>
        </w:tc>
        <w:tc>
          <w:tcPr>
            <w:tcW w:w="1115"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hint="eastAsia" w:ascii="仿宋_GB2312" w:hAnsi="仿宋_GB2312" w:eastAsia="仿宋_GB2312" w:cs="仿宋_GB2312"/>
                <w:kern w:val="0"/>
                <w:szCs w:val="21"/>
                <w:lang w:val="en-US" w:eastAsia="zh-CN"/>
              </w:rPr>
              <w:t>8</w:t>
            </w:r>
            <w:r>
              <w:rPr>
                <w:rFonts w:hint="eastAsia" w:ascii="仿宋_GB2312" w:hAnsi="仿宋_GB2312" w:eastAsia="仿宋_GB2312" w:cs="仿宋_GB2312"/>
                <w:kern w:val="0"/>
                <w:szCs w:val="21"/>
              </w:rPr>
              <w:t>万元</w:t>
            </w:r>
          </w:p>
        </w:tc>
        <w:tc>
          <w:tcPr>
            <w:tcW w:w="1114"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p>
        </w:tc>
        <w:tc>
          <w:tcPr>
            <w:tcW w:w="1486"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highlight w:val="none"/>
                <w:lang w:val="en-US" w:eastAsia="zh-CN"/>
              </w:rPr>
              <w:t>被监理项目验收后</w:t>
            </w:r>
          </w:p>
        </w:tc>
        <w:tc>
          <w:tcPr>
            <w:tcW w:w="1486" w:type="dxa"/>
            <w:vAlign w:val="center"/>
          </w:tcPr>
          <w:p>
            <w:pPr>
              <w:pBdr>
                <w:top w:val="none" w:color="auto" w:sz="0" w:space="1"/>
                <w:left w:val="none" w:color="auto" w:sz="0" w:space="4"/>
                <w:bottom w:val="none" w:color="auto" w:sz="0" w:space="1"/>
                <w:right w:val="none" w:color="auto" w:sz="0" w:space="4"/>
              </w:pBdr>
              <w:spacing w:line="32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询价采购</w:t>
            </w:r>
            <w:bookmarkStart w:id="0" w:name="_GoBack"/>
            <w:bookmarkEnd w:id="0"/>
          </w:p>
        </w:tc>
        <w:tc>
          <w:tcPr>
            <w:tcW w:w="1115" w:type="dxa"/>
            <w:vAlign w:val="center"/>
          </w:tcPr>
          <w:p>
            <w:pPr>
              <w:pBdr>
                <w:top w:val="none" w:color="auto" w:sz="0" w:space="1"/>
                <w:left w:val="none" w:color="auto" w:sz="0" w:space="4"/>
                <w:bottom w:val="none" w:color="auto" w:sz="0" w:space="1"/>
                <w:right w:val="none" w:color="auto" w:sz="0" w:space="4"/>
              </w:pBdr>
              <w:spacing w:line="320" w:lineRule="exact"/>
              <w:jc w:val="center"/>
              <w:rPr>
                <w:rFonts w:ascii="仿宋_GB2312" w:hAnsi="仿宋_GB2312" w:eastAsia="仿宋_GB2312" w:cs="仿宋_GB2312"/>
                <w:kern w:val="0"/>
                <w:szCs w:val="21"/>
              </w:rPr>
            </w:pPr>
          </w:p>
        </w:tc>
        <w:tc>
          <w:tcPr>
            <w:tcW w:w="1486" w:type="dxa"/>
            <w:vAlign w:val="center"/>
          </w:tcPr>
          <w:p>
            <w:pPr>
              <w:pBdr>
                <w:top w:val="none" w:color="auto" w:sz="0" w:space="1"/>
                <w:left w:val="none" w:color="auto" w:sz="0" w:space="4"/>
                <w:bottom w:val="none" w:color="auto" w:sz="0" w:space="1"/>
                <w:right w:val="none" w:color="auto" w:sz="0" w:space="4"/>
              </w:pBdr>
              <w:spacing w:line="360" w:lineRule="exact"/>
              <w:jc w:val="center"/>
              <w:rPr>
                <w:rFonts w:ascii="仿宋_GB2312" w:hAnsi="仿宋_GB2312" w:eastAsia="仿宋_GB2312" w:cs="仿宋_GB2312"/>
                <w:kern w:val="0"/>
                <w:szCs w:val="21"/>
              </w:rPr>
            </w:pPr>
          </w:p>
        </w:tc>
      </w:tr>
    </w:tbl>
    <w:p>
      <w:pPr>
        <w:rPr>
          <w:rFonts w:eastAsia="黑体"/>
          <w:kern w:val="0"/>
          <w:sz w:val="32"/>
          <w:szCs w:val="32"/>
        </w:rPr>
        <w:sectPr>
          <w:footerReference r:id="rId3" w:type="default"/>
          <w:pgSz w:w="16838" w:h="11906" w:orient="landscape"/>
          <w:pgMar w:top="1588" w:right="1418" w:bottom="1474" w:left="1418" w:header="567" w:footer="992" w:gutter="0"/>
          <w:cols w:space="425" w:num="1"/>
          <w:docGrid w:type="lines" w:linePitch="437" w:charSpace="0"/>
        </w:sectPr>
      </w:pPr>
    </w:p>
    <w:p>
      <w:pPr>
        <w:rPr>
          <w:rFonts w:eastAsia="黑体"/>
          <w:kern w:val="0"/>
          <w:sz w:val="32"/>
          <w:szCs w:val="32"/>
        </w:rPr>
      </w:pPr>
      <w:r>
        <w:rPr>
          <w:rFonts w:eastAsia="黑体"/>
          <w:kern w:val="0"/>
          <w:sz w:val="32"/>
          <w:szCs w:val="32"/>
        </w:rPr>
        <w:t>附件2</w:t>
      </w:r>
    </w:p>
    <w:p>
      <w:pPr>
        <w:wordWrap w:val="0"/>
        <w:spacing w:line="579" w:lineRule="exact"/>
        <w:jc w:val="center"/>
        <w:rPr>
          <w:rFonts w:eastAsia="黑体"/>
          <w:kern w:val="0"/>
          <w:sz w:val="32"/>
          <w:szCs w:val="32"/>
        </w:rPr>
      </w:pPr>
      <w:r>
        <w:rPr>
          <w:rFonts w:hint="eastAsia" w:eastAsia="黑体"/>
          <w:kern w:val="0"/>
          <w:sz w:val="32"/>
          <w:szCs w:val="32"/>
        </w:rPr>
        <w:t>技术要求</w:t>
      </w:r>
    </w:p>
    <w:p>
      <w:pPr>
        <w:keepNext w:val="0"/>
        <w:keepLines w:val="0"/>
        <w:pageBreakBefore w:val="0"/>
        <w:widowControl/>
        <w:kinsoku/>
        <w:wordWrap/>
        <w:overflowPunct/>
        <w:topLinePunct w:val="0"/>
        <w:autoSpaceDE/>
        <w:autoSpaceDN/>
        <w:bidi w:val="0"/>
        <w:adjustRightInd/>
        <w:snapToGrid/>
        <w:spacing w:before="240" w:after="60" w:line="579" w:lineRule="exact"/>
        <w:ind w:left="782"/>
        <w:textAlignment w:val="auto"/>
        <w:outlineLvl w:val="0"/>
        <w:rPr>
          <w:rFonts w:ascii="黑体" w:hAnsi="黑体" w:eastAsia="黑体" w:cstheme="minorBidi"/>
          <w:sz w:val="32"/>
          <w:szCs w:val="32"/>
        </w:rPr>
      </w:pPr>
      <w:r>
        <w:rPr>
          <w:rFonts w:hint="eastAsia" w:ascii="黑体" w:hAnsi="黑体" w:eastAsia="黑体" w:cstheme="minorBidi"/>
          <w:sz w:val="32"/>
          <w:szCs w:val="32"/>
        </w:rPr>
        <w:t>一、项目名称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国产化</w:t>
      </w:r>
      <w:r>
        <w:rPr>
          <w:rFonts w:hint="eastAsia" w:ascii="仿宋_GB2312" w:hAnsi="黑体" w:eastAsia="仿宋_GB2312"/>
          <w:sz w:val="32"/>
          <w:szCs w:val="32"/>
          <w:lang w:val="en-US" w:eastAsia="zh-CN"/>
        </w:rPr>
        <w:t>建设</w:t>
      </w:r>
      <w:r>
        <w:rPr>
          <w:rFonts w:hint="eastAsia" w:ascii="仿宋_GB2312" w:hAnsi="黑体" w:eastAsia="仿宋_GB2312"/>
          <w:sz w:val="32"/>
          <w:szCs w:val="32"/>
        </w:rPr>
        <w:t>项目监理</w:t>
      </w:r>
    </w:p>
    <w:p>
      <w:pPr>
        <w:keepNext w:val="0"/>
        <w:keepLines w:val="0"/>
        <w:pageBreakBefore w:val="0"/>
        <w:widowControl/>
        <w:kinsoku/>
        <w:wordWrap/>
        <w:overflowPunct/>
        <w:topLinePunct w:val="0"/>
        <w:autoSpaceDE/>
        <w:autoSpaceDN/>
        <w:bidi w:val="0"/>
        <w:adjustRightInd/>
        <w:snapToGrid/>
        <w:spacing w:before="240" w:after="60" w:line="579" w:lineRule="exact"/>
        <w:ind w:left="782"/>
        <w:textAlignment w:val="auto"/>
        <w:outlineLvl w:val="0"/>
        <w:rPr>
          <w:rFonts w:ascii="黑体" w:hAnsi="黑体" w:eastAsia="黑体" w:cstheme="minorBidi"/>
          <w:sz w:val="32"/>
          <w:szCs w:val="32"/>
        </w:rPr>
      </w:pPr>
      <w:r>
        <w:rPr>
          <w:rFonts w:hint="eastAsia" w:ascii="黑体" w:hAnsi="黑体" w:eastAsia="黑体" w:cstheme="minorBidi"/>
          <w:sz w:val="32"/>
          <w:szCs w:val="32"/>
        </w:rPr>
        <w:t>二、项目预算</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48万元</w:t>
      </w:r>
    </w:p>
    <w:p>
      <w:pPr>
        <w:keepNext w:val="0"/>
        <w:keepLines w:val="0"/>
        <w:pageBreakBefore w:val="0"/>
        <w:widowControl/>
        <w:kinsoku/>
        <w:wordWrap/>
        <w:overflowPunct/>
        <w:topLinePunct w:val="0"/>
        <w:autoSpaceDE/>
        <w:autoSpaceDN/>
        <w:bidi w:val="0"/>
        <w:adjustRightInd/>
        <w:snapToGrid/>
        <w:spacing w:before="240" w:after="60" w:line="579" w:lineRule="exact"/>
        <w:ind w:left="782"/>
        <w:textAlignment w:val="auto"/>
        <w:outlineLvl w:val="0"/>
        <w:rPr>
          <w:rFonts w:ascii="黑体" w:hAnsi="黑体" w:eastAsia="黑体" w:cstheme="minorBidi"/>
          <w:sz w:val="32"/>
          <w:szCs w:val="32"/>
        </w:rPr>
      </w:pPr>
      <w:r>
        <w:rPr>
          <w:rFonts w:hint="eastAsia" w:ascii="黑体" w:hAnsi="黑体" w:eastAsia="黑体" w:cstheme="minorBidi"/>
          <w:sz w:val="32"/>
          <w:szCs w:val="32"/>
        </w:rPr>
        <w:t>三、服务需求</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ascii="楷体_GB2312" w:hAnsi="楷体_GB2312" w:eastAsia="楷体_GB2312"/>
          <w:color w:val="000000"/>
          <w:sz w:val="32"/>
          <w:szCs w:val="32"/>
        </w:rPr>
      </w:pPr>
      <w:r>
        <w:rPr>
          <w:rFonts w:hint="eastAsia" w:ascii="楷体_GB2312" w:hAnsi="楷体_GB2312" w:eastAsia="楷体_GB2312"/>
          <w:color w:val="000000"/>
          <w:sz w:val="32"/>
          <w:szCs w:val="32"/>
        </w:rPr>
        <w:t>（一）需求概述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为项目提供项目监理服务,包括质量控制、进度控制、投资控制、变更控制、安全管理、合同管理、信息文档管理等服务。</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ascii="楷体_GB2312" w:hAnsi="楷体_GB2312" w:eastAsia="楷体_GB2312"/>
          <w:color w:val="000000"/>
          <w:sz w:val="32"/>
          <w:szCs w:val="32"/>
        </w:rPr>
      </w:pPr>
      <w:r>
        <w:rPr>
          <w:rFonts w:hint="eastAsia" w:ascii="楷体_GB2312" w:hAnsi="楷体_GB2312" w:eastAsia="楷体_GB2312"/>
          <w:color w:val="000000"/>
          <w:sz w:val="32"/>
          <w:szCs w:val="32"/>
        </w:rPr>
        <w:t>（二）监理范围</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监理内容包括：基础硬件模块、基础软件模块、业务信息系统以及专项服务保障4大板块。</w:t>
      </w:r>
    </w:p>
    <w:p>
      <w:pPr>
        <w:spacing w:line="592" w:lineRule="exact"/>
        <w:ind w:firstLine="640" w:firstLineChars="200"/>
        <w:jc w:val="left"/>
        <w:rPr>
          <w:rFonts w:ascii="楷体_GB2312" w:hAnsi="楷体_GB2312" w:eastAsia="楷体_GB2312"/>
          <w:color w:val="000000"/>
          <w:sz w:val="32"/>
          <w:szCs w:val="32"/>
        </w:rPr>
      </w:pPr>
      <w:r>
        <w:rPr>
          <w:rFonts w:hint="eastAsia" w:ascii="楷体_GB2312" w:hAnsi="楷体_GB2312" w:eastAsia="楷体_GB2312"/>
          <w:color w:val="000000"/>
          <w:sz w:val="32"/>
          <w:szCs w:val="32"/>
        </w:rPr>
        <w:t>（三）服务内容</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监理</w:t>
      </w:r>
      <w:r>
        <w:rPr>
          <w:rFonts w:hint="eastAsia" w:ascii="仿宋_GB2312" w:hAnsi="黑体" w:eastAsia="仿宋_GB2312"/>
          <w:sz w:val="32"/>
          <w:szCs w:val="32"/>
        </w:rPr>
        <w:t>单位</w:t>
      </w:r>
      <w:r>
        <w:rPr>
          <w:rFonts w:ascii="仿宋_GB2312" w:hAnsi="黑体" w:eastAsia="仿宋_GB2312"/>
          <w:sz w:val="32"/>
          <w:szCs w:val="32"/>
        </w:rPr>
        <w:t>需依据信息系统项目监理有关的国家、军队政策、法律法规、标准规范等，对本项目提供全过程监理服务，具体包括：</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1.项目组织以及技术方案的把关</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审核和协助</w:t>
      </w:r>
      <w:r>
        <w:rPr>
          <w:rFonts w:hint="eastAsia" w:ascii="仿宋_GB2312" w:hAnsi="黑体" w:eastAsia="仿宋_GB2312"/>
          <w:sz w:val="32"/>
          <w:szCs w:val="32"/>
          <w:lang w:eastAsia="zh-CN"/>
        </w:rPr>
        <w:t>采购方</w:t>
      </w:r>
      <w:r>
        <w:rPr>
          <w:rFonts w:ascii="仿宋_GB2312" w:hAnsi="黑体" w:eastAsia="仿宋_GB2312"/>
          <w:sz w:val="32"/>
          <w:szCs w:val="32"/>
        </w:rPr>
        <w:t>确认</w:t>
      </w:r>
      <w:r>
        <w:rPr>
          <w:rFonts w:hint="eastAsia" w:ascii="仿宋_GB2312" w:hAnsi="黑体" w:eastAsia="仿宋_GB2312"/>
          <w:sz w:val="32"/>
          <w:szCs w:val="32"/>
        </w:rPr>
        <w:t>承建单位</w:t>
      </w:r>
      <w:r>
        <w:rPr>
          <w:rFonts w:ascii="仿宋_GB2312" w:hAnsi="黑体" w:eastAsia="仿宋_GB2312"/>
          <w:sz w:val="32"/>
          <w:szCs w:val="32"/>
        </w:rPr>
        <w:t>的组织和实施方案</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审核和协助</w:t>
      </w:r>
      <w:r>
        <w:rPr>
          <w:rFonts w:hint="eastAsia" w:ascii="仿宋_GB2312" w:hAnsi="黑体" w:eastAsia="仿宋_GB2312"/>
          <w:sz w:val="32"/>
          <w:szCs w:val="32"/>
          <w:lang w:eastAsia="zh-CN"/>
        </w:rPr>
        <w:t>采购方</w:t>
      </w:r>
      <w:r>
        <w:rPr>
          <w:rFonts w:ascii="仿宋_GB2312" w:hAnsi="黑体" w:eastAsia="仿宋_GB2312"/>
          <w:sz w:val="32"/>
          <w:szCs w:val="32"/>
        </w:rPr>
        <w:t>确认</w:t>
      </w:r>
      <w:r>
        <w:rPr>
          <w:rFonts w:hint="eastAsia" w:ascii="仿宋_GB2312" w:hAnsi="黑体" w:eastAsia="仿宋_GB2312"/>
          <w:sz w:val="32"/>
          <w:szCs w:val="32"/>
        </w:rPr>
        <w:t>承建单位</w:t>
      </w:r>
      <w:r>
        <w:rPr>
          <w:rFonts w:ascii="仿宋_GB2312" w:hAnsi="黑体" w:eastAsia="仿宋_GB2312"/>
          <w:sz w:val="32"/>
          <w:szCs w:val="32"/>
        </w:rPr>
        <w:t>的项目质量保证计划、质量控制体系（含质量控制的关键性节点）</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审核和协助</w:t>
      </w:r>
      <w:r>
        <w:rPr>
          <w:rFonts w:hint="eastAsia" w:ascii="仿宋_GB2312" w:hAnsi="黑体" w:eastAsia="仿宋_GB2312"/>
          <w:sz w:val="32"/>
          <w:szCs w:val="32"/>
          <w:lang w:eastAsia="zh-CN"/>
        </w:rPr>
        <w:t>采购方</w:t>
      </w:r>
      <w:r>
        <w:rPr>
          <w:rFonts w:ascii="仿宋_GB2312" w:hAnsi="黑体" w:eastAsia="仿宋_GB2312"/>
          <w:sz w:val="32"/>
          <w:szCs w:val="32"/>
        </w:rPr>
        <w:t>确认</w:t>
      </w:r>
      <w:r>
        <w:rPr>
          <w:rFonts w:hint="eastAsia" w:ascii="仿宋_GB2312" w:hAnsi="黑体" w:eastAsia="仿宋_GB2312"/>
          <w:sz w:val="32"/>
          <w:szCs w:val="32"/>
        </w:rPr>
        <w:t>承建单位</w:t>
      </w:r>
      <w:r>
        <w:rPr>
          <w:rFonts w:ascii="仿宋_GB2312" w:hAnsi="黑体" w:eastAsia="仿宋_GB2312"/>
          <w:sz w:val="32"/>
          <w:szCs w:val="32"/>
        </w:rPr>
        <w:t>的测试计划</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审核和协助</w:t>
      </w:r>
      <w:r>
        <w:rPr>
          <w:rFonts w:hint="eastAsia" w:ascii="仿宋_GB2312" w:hAnsi="黑体" w:eastAsia="仿宋_GB2312"/>
          <w:sz w:val="32"/>
          <w:szCs w:val="32"/>
          <w:lang w:eastAsia="zh-CN"/>
        </w:rPr>
        <w:t>采购方</w:t>
      </w:r>
      <w:r>
        <w:rPr>
          <w:rFonts w:ascii="仿宋_GB2312" w:hAnsi="黑体" w:eastAsia="仿宋_GB2312"/>
          <w:sz w:val="32"/>
          <w:szCs w:val="32"/>
        </w:rPr>
        <w:t>确认</w:t>
      </w:r>
      <w:r>
        <w:rPr>
          <w:rFonts w:hint="eastAsia" w:ascii="仿宋_GB2312" w:hAnsi="黑体" w:eastAsia="仿宋_GB2312"/>
          <w:sz w:val="32"/>
          <w:szCs w:val="32"/>
        </w:rPr>
        <w:t>承建单位</w:t>
      </w:r>
      <w:r>
        <w:rPr>
          <w:rFonts w:ascii="仿宋_GB2312" w:hAnsi="黑体" w:eastAsia="仿宋_GB2312"/>
          <w:sz w:val="32"/>
          <w:szCs w:val="32"/>
        </w:rPr>
        <w:t>的项目进度计划和进度控制节点。</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质量控制</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协助</w:t>
      </w:r>
      <w:r>
        <w:rPr>
          <w:rFonts w:hint="eastAsia" w:ascii="仿宋_GB2312" w:hAnsi="黑体" w:eastAsia="仿宋_GB2312"/>
          <w:sz w:val="32"/>
          <w:szCs w:val="32"/>
          <w:lang w:eastAsia="zh-CN"/>
        </w:rPr>
        <w:t>采购方</w:t>
      </w:r>
      <w:r>
        <w:rPr>
          <w:rFonts w:ascii="仿宋_GB2312" w:hAnsi="黑体" w:eastAsia="仿宋_GB2312"/>
          <w:sz w:val="32"/>
          <w:szCs w:val="32"/>
        </w:rPr>
        <w:t>制定项目服务质量目标，提出质量控制的措施，并监督项目计划的执行。审核工作方案和项目实施计划；协助</w:t>
      </w:r>
      <w:r>
        <w:rPr>
          <w:rFonts w:hint="eastAsia" w:ascii="仿宋_GB2312" w:hAnsi="黑体" w:eastAsia="仿宋_GB2312"/>
          <w:sz w:val="32"/>
          <w:szCs w:val="32"/>
          <w:lang w:eastAsia="zh-CN"/>
        </w:rPr>
        <w:t>采购方</w:t>
      </w:r>
      <w:r>
        <w:rPr>
          <w:rFonts w:ascii="仿宋_GB2312" w:hAnsi="黑体" w:eastAsia="仿宋_GB2312"/>
          <w:sz w:val="32"/>
          <w:szCs w:val="32"/>
        </w:rPr>
        <w:t>进行方案的审核和确认</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协助</w:t>
      </w:r>
      <w:r>
        <w:rPr>
          <w:rFonts w:hint="eastAsia" w:ascii="仿宋_GB2312" w:hAnsi="黑体" w:eastAsia="仿宋_GB2312"/>
          <w:sz w:val="32"/>
          <w:szCs w:val="32"/>
          <w:lang w:eastAsia="zh-CN"/>
        </w:rPr>
        <w:t>采购方</w:t>
      </w:r>
      <w:r>
        <w:rPr>
          <w:rFonts w:ascii="仿宋_GB2312" w:hAnsi="黑体" w:eastAsia="仿宋_GB2312"/>
          <w:sz w:val="32"/>
          <w:szCs w:val="32"/>
        </w:rPr>
        <w:t>对采购的软、硬件设备的质量进行检验、测试和验收并</w:t>
      </w:r>
      <w:r>
        <w:rPr>
          <w:rFonts w:hint="eastAsia" w:ascii="仿宋_GB2312" w:hAnsi="黑体" w:eastAsia="仿宋_GB2312"/>
          <w:sz w:val="32"/>
          <w:szCs w:val="32"/>
        </w:rPr>
        <w:t>归纳相关</w:t>
      </w:r>
      <w:r>
        <w:rPr>
          <w:rFonts w:ascii="仿宋_GB2312" w:hAnsi="黑体" w:eastAsia="仿宋_GB2312"/>
          <w:sz w:val="32"/>
          <w:szCs w:val="32"/>
        </w:rPr>
        <w:t>文档；协助</w:t>
      </w:r>
      <w:r>
        <w:rPr>
          <w:rFonts w:hint="eastAsia" w:ascii="仿宋_GB2312" w:hAnsi="黑体" w:eastAsia="仿宋_GB2312"/>
          <w:sz w:val="32"/>
          <w:szCs w:val="32"/>
          <w:lang w:eastAsia="zh-CN"/>
        </w:rPr>
        <w:t>采购方</w:t>
      </w:r>
      <w:r>
        <w:rPr>
          <w:rFonts w:ascii="仿宋_GB2312" w:hAnsi="黑体" w:eastAsia="仿宋_GB2312"/>
          <w:sz w:val="32"/>
          <w:szCs w:val="32"/>
        </w:rPr>
        <w:t>对软、硬件设备的到货和安装调试进行验收并</w:t>
      </w:r>
      <w:r>
        <w:rPr>
          <w:rFonts w:hint="eastAsia" w:ascii="仿宋_GB2312" w:hAnsi="黑体" w:eastAsia="仿宋_GB2312"/>
          <w:sz w:val="32"/>
          <w:szCs w:val="32"/>
        </w:rPr>
        <w:t>归纳相关</w:t>
      </w:r>
      <w:r>
        <w:rPr>
          <w:rFonts w:ascii="仿宋_GB2312" w:hAnsi="黑体" w:eastAsia="仿宋_GB2312"/>
          <w:sz w:val="32"/>
          <w:szCs w:val="32"/>
        </w:rPr>
        <w:t>文档；</w:t>
      </w:r>
      <w:r>
        <w:rPr>
          <w:rFonts w:hint="eastAsia" w:ascii="仿宋_GB2312" w:hAnsi="黑体" w:eastAsia="仿宋_GB2312"/>
          <w:sz w:val="32"/>
          <w:szCs w:val="32"/>
        </w:rPr>
        <w:t>对数据迁移的的数据迁移的步骤细化、数据迁移的质量控制以及数据迁移的过程监控。</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（3）对各内容的</w:t>
      </w:r>
      <w:r>
        <w:rPr>
          <w:rFonts w:ascii="仿宋_GB2312" w:hAnsi="黑体" w:eastAsia="仿宋_GB2312"/>
          <w:sz w:val="32"/>
          <w:szCs w:val="32"/>
        </w:rPr>
        <w:t>系统安装调试</w:t>
      </w:r>
      <w:r>
        <w:rPr>
          <w:rFonts w:hint="eastAsia" w:ascii="仿宋_GB2312" w:hAnsi="黑体" w:eastAsia="仿宋_GB2312"/>
          <w:sz w:val="32"/>
          <w:szCs w:val="32"/>
        </w:rPr>
        <w:t>、</w:t>
      </w:r>
      <w:r>
        <w:rPr>
          <w:rFonts w:ascii="仿宋_GB2312" w:hAnsi="黑体" w:eastAsia="仿宋_GB2312"/>
          <w:sz w:val="32"/>
          <w:szCs w:val="32"/>
        </w:rPr>
        <w:t>试运行</w:t>
      </w:r>
      <w:r>
        <w:rPr>
          <w:rFonts w:hint="eastAsia" w:ascii="仿宋_GB2312" w:hAnsi="黑体" w:eastAsia="仿宋_GB2312"/>
          <w:sz w:val="32"/>
          <w:szCs w:val="32"/>
        </w:rPr>
        <w:t>以及验收等阶段</w:t>
      </w:r>
      <w:r>
        <w:rPr>
          <w:rFonts w:ascii="仿宋_GB2312" w:hAnsi="黑体" w:eastAsia="仿宋_GB2312"/>
          <w:sz w:val="32"/>
          <w:szCs w:val="32"/>
        </w:rPr>
        <w:t>进行质量把关；</w:t>
      </w:r>
      <w:r>
        <w:rPr>
          <w:rFonts w:hint="eastAsia" w:ascii="仿宋_GB2312" w:hAnsi="黑体" w:eastAsia="仿宋_GB2312"/>
          <w:sz w:val="32"/>
          <w:szCs w:val="32"/>
        </w:rPr>
        <w:t>对项目三地专项服务进行定期回访，‌</w:t>
      </w:r>
      <w:r>
        <w:rPr>
          <w:rFonts w:ascii="仿宋_GB2312" w:hAnsi="黑体" w:eastAsia="仿宋_GB2312"/>
          <w:sz w:val="32"/>
          <w:szCs w:val="32"/>
        </w:rPr>
        <w:t>检查和记录工程质量缺陷‌</w:t>
      </w:r>
      <w:r>
        <w:rPr>
          <w:rFonts w:hint="eastAsia" w:ascii="仿宋_GB2312" w:hAnsi="黑体" w:eastAsia="仿宋_GB2312"/>
          <w:sz w:val="32"/>
          <w:szCs w:val="32"/>
        </w:rPr>
        <w:t>、调查质量缺陷原因并确定责任归属、‌</w:t>
      </w:r>
      <w:r>
        <w:rPr>
          <w:rFonts w:ascii="仿宋_GB2312" w:hAnsi="黑体" w:eastAsia="仿宋_GB2312"/>
          <w:sz w:val="32"/>
          <w:szCs w:val="32"/>
        </w:rPr>
        <w:t>监督承包人执行缺陷责任期的工作计划</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对承建单位输出的技术成果进行审核，出具监理意见</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对承建单位的培训计划和培训资料进行审核确认；监督承建单位实施其培训计划，并跟踪用户的反馈意见；审核确认承建单位的培训总结报告。</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3.进度控制</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审核承建单位的进度分解计划，确认分解计划可以保证总体计划目标</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分析各承建单位的进度计划，编制项目整体进度计划表，进行整体进度跟踪把控</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对项目实施进度进行实时跟踪，并要求承建单位对进度计划进行动态调整，以确保项目的阶段和总体进度目标的实现；</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当工期目标严重偏离时，应及时指出，并提出对策建议，同时督促承建单位尽快采取措施。</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4.投资控制</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依据合同、设计方案中约定的项目目标、范围、内容、产品和服务，对可能的投资变化向采购人提出监理意见，控制变更，审核承建单位的付款申请，并对实际完成工作情况进行审核，提出监理意见</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从项目目标的质量、进度和投资等对项目变更进行审核，协助</w:t>
      </w:r>
      <w:r>
        <w:rPr>
          <w:rFonts w:hint="eastAsia" w:ascii="仿宋_GB2312" w:hAnsi="黑体" w:eastAsia="仿宋_GB2312"/>
          <w:sz w:val="32"/>
          <w:szCs w:val="32"/>
          <w:lang w:eastAsia="zh-CN"/>
        </w:rPr>
        <w:t>采购方</w:t>
      </w:r>
      <w:r>
        <w:rPr>
          <w:rFonts w:ascii="仿宋_GB2312" w:hAnsi="黑体" w:eastAsia="仿宋_GB2312"/>
          <w:sz w:val="32"/>
          <w:szCs w:val="32"/>
        </w:rPr>
        <w:t>做好未预期的变更成本控制，按程序处理索赔申请</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5.变更控制</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明确界定项目变更的目标，防止变更范围的扩大化，制定详细的变更风险处理措施，对变更实施过程进行监控，对变更实施效果进行评估</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接到变更申请之后，要快速按照变更处理程序进行变更处理，迅速下达是否可以进行变更的监理通知</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对项目建设过程中所发生的项目变更进行审核、确认，任何变更都要得到采购人、监理单位和承建单位三方确认</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协助</w:t>
      </w:r>
      <w:r>
        <w:rPr>
          <w:rFonts w:hint="eastAsia" w:ascii="仿宋_GB2312" w:hAnsi="黑体" w:eastAsia="仿宋_GB2312"/>
          <w:sz w:val="32"/>
          <w:szCs w:val="32"/>
          <w:lang w:eastAsia="zh-CN"/>
        </w:rPr>
        <w:t>采购方</w:t>
      </w:r>
      <w:r>
        <w:rPr>
          <w:rFonts w:ascii="仿宋_GB2312" w:hAnsi="黑体" w:eastAsia="仿宋_GB2312"/>
          <w:sz w:val="32"/>
          <w:szCs w:val="32"/>
        </w:rPr>
        <w:t>进行变更成本和进度的预测、分析、核算和考核，做好变更文档的管理工作。</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6.安全管理</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审核承建单位的安全施工方案，提出监理意见；做好项目建设施工过程中安全控制，确保不出现安全事故；对项目技术文件以及由</w:t>
      </w:r>
      <w:r>
        <w:rPr>
          <w:rFonts w:hint="eastAsia" w:ascii="仿宋_GB2312" w:hAnsi="黑体" w:eastAsia="仿宋_GB2312"/>
          <w:sz w:val="32"/>
          <w:szCs w:val="32"/>
          <w:lang w:eastAsia="zh-CN"/>
        </w:rPr>
        <w:t>采购方</w:t>
      </w:r>
      <w:r>
        <w:rPr>
          <w:rFonts w:ascii="仿宋_GB2312" w:hAnsi="黑体" w:eastAsia="仿宋_GB2312"/>
          <w:sz w:val="32"/>
          <w:szCs w:val="32"/>
        </w:rPr>
        <w:t>提供的所有内部资料、技术文档和信息予以保密。</w:t>
      </w:r>
      <w:r>
        <w:rPr>
          <w:rFonts w:hint="eastAsia" w:ascii="仿宋_GB2312" w:hAnsi="黑体" w:eastAsia="仿宋_GB2312"/>
          <w:sz w:val="32"/>
          <w:szCs w:val="32"/>
        </w:rPr>
        <w:t>监理单位</w:t>
      </w:r>
      <w:r>
        <w:rPr>
          <w:rFonts w:ascii="仿宋_GB2312" w:hAnsi="黑体" w:eastAsia="仿宋_GB2312"/>
          <w:sz w:val="32"/>
          <w:szCs w:val="32"/>
        </w:rPr>
        <w:t>必须遵守与</w:t>
      </w:r>
      <w:r>
        <w:rPr>
          <w:rFonts w:hint="eastAsia" w:ascii="仿宋_GB2312" w:hAnsi="黑体" w:eastAsia="仿宋_GB2312"/>
          <w:sz w:val="32"/>
          <w:szCs w:val="32"/>
          <w:lang w:eastAsia="zh-CN"/>
        </w:rPr>
        <w:t>采购方</w:t>
      </w:r>
      <w:r>
        <w:rPr>
          <w:rFonts w:ascii="仿宋_GB2312" w:hAnsi="黑体" w:eastAsia="仿宋_GB2312"/>
          <w:sz w:val="32"/>
          <w:szCs w:val="32"/>
        </w:rPr>
        <w:t>签订的保密协议，未经</w:t>
      </w:r>
      <w:r>
        <w:rPr>
          <w:rFonts w:hint="eastAsia" w:ascii="仿宋_GB2312" w:hAnsi="黑体" w:eastAsia="仿宋_GB2312"/>
          <w:sz w:val="32"/>
          <w:szCs w:val="32"/>
          <w:lang w:eastAsia="zh-CN"/>
        </w:rPr>
        <w:t>采购方</w:t>
      </w:r>
      <w:r>
        <w:rPr>
          <w:rFonts w:ascii="仿宋_GB2312" w:hAnsi="黑体" w:eastAsia="仿宋_GB2312"/>
          <w:sz w:val="32"/>
          <w:szCs w:val="32"/>
        </w:rPr>
        <w:t>书面许可，</w:t>
      </w:r>
      <w:r>
        <w:rPr>
          <w:rFonts w:hint="eastAsia" w:ascii="仿宋_GB2312" w:hAnsi="黑体" w:eastAsia="仿宋_GB2312"/>
          <w:sz w:val="32"/>
          <w:szCs w:val="32"/>
        </w:rPr>
        <w:t>监理单位</w:t>
      </w:r>
      <w:r>
        <w:rPr>
          <w:rFonts w:ascii="仿宋_GB2312" w:hAnsi="黑体" w:eastAsia="仿宋_GB2312"/>
          <w:sz w:val="32"/>
          <w:szCs w:val="32"/>
        </w:rPr>
        <w:t>不得以任何形式向第三方透露本项目的任何内容。协助</w:t>
      </w:r>
      <w:r>
        <w:rPr>
          <w:rFonts w:hint="eastAsia" w:ascii="仿宋_GB2312" w:hAnsi="黑体" w:eastAsia="仿宋_GB2312"/>
          <w:sz w:val="32"/>
          <w:szCs w:val="32"/>
          <w:lang w:eastAsia="zh-CN"/>
        </w:rPr>
        <w:t>采购方</w:t>
      </w:r>
      <w:r>
        <w:rPr>
          <w:rFonts w:ascii="仿宋_GB2312" w:hAnsi="黑体" w:eastAsia="仿宋_GB2312"/>
          <w:sz w:val="32"/>
          <w:szCs w:val="32"/>
        </w:rPr>
        <w:t>对项目建设过程中所涉及的敏感数据、资料等信息进行保护，防止被非授权使用</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保证各项安全措施的实施，针对物理访问、应用环境、逻辑访问、架构、数据备份与灾难恢复等安全层次分别制定相应的可实施的规章制度，包括环境安全管理制度、组织安全管理制度、信息安全保密协议、文档管理制度、系统操作规范、系统维护规范、系统安全运营管理制度、应急响应规范和教育与培训制度等</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安全管理还包括对信息安全结构、第三方访问安全和外包服务的管理等</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负责项目建设过程中所涉及</w:t>
      </w:r>
      <w:r>
        <w:rPr>
          <w:rFonts w:hint="eastAsia" w:ascii="仿宋_GB2312" w:hAnsi="黑体" w:eastAsia="仿宋_GB2312"/>
          <w:sz w:val="32"/>
          <w:szCs w:val="32"/>
        </w:rPr>
        <w:t>敏感</w:t>
      </w:r>
      <w:r>
        <w:rPr>
          <w:rFonts w:ascii="仿宋_GB2312" w:hAnsi="黑体" w:eastAsia="仿宋_GB2312"/>
          <w:sz w:val="32"/>
          <w:szCs w:val="32"/>
        </w:rPr>
        <w:t>数据和资料的保护，保证不被非授权使用；负责项目建设施工过程中安全控制，确保不出现安全事故。</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7.知识产权管理</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协助</w:t>
      </w:r>
      <w:r>
        <w:rPr>
          <w:rFonts w:hint="eastAsia" w:ascii="仿宋_GB2312" w:hAnsi="黑体" w:eastAsia="仿宋_GB2312"/>
          <w:sz w:val="32"/>
          <w:szCs w:val="32"/>
          <w:lang w:eastAsia="zh-CN"/>
        </w:rPr>
        <w:t>采购方</w:t>
      </w:r>
      <w:r>
        <w:rPr>
          <w:rFonts w:ascii="仿宋_GB2312" w:hAnsi="黑体" w:eastAsia="仿宋_GB2312"/>
          <w:sz w:val="32"/>
          <w:szCs w:val="32"/>
        </w:rPr>
        <w:t>进行项目建设过程中所产生成果的知识产权保护，保证不被非授权使用</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 xml:space="preserve">协助项目建设过程中涉及知识产权的产品和系统的使用审核，保证建设单位不在本项目建设中出现违反知识产权的行为。 </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8.合同管理</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合同的签订管理、合同的档案管理、合同的履行管理、建立合同及信息管理制度、跟踪检查合同的执行情况、对合同工期的延误和延期进行审核确认、对合同变更、索赔、违约等事宜进行审核确认等。</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9.文档管理</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完成监理过程的各类监理文档的制作工作；监督承建单位及时、完整地提交项目档案，协助建设单位做好各类文档管理。</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在信息系统项目建设过程中，信息管理贯穿整个项目实施的各个阶段。项目例会、评审会、协调会、项目月报、项目验收会等都以文字报告或表格形式上报建设单位项目组或相关单位，具体包括：</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做好监理记录及项目大事记</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记录项目实施进展，反馈项目质量、进度、投资、变更等具体问题。当发生重大事情时，做好</w:t>
      </w:r>
      <w:r>
        <w:rPr>
          <w:rFonts w:hint="eastAsia" w:ascii="仿宋_GB2312" w:hAnsi="黑体" w:eastAsia="仿宋_GB2312"/>
          <w:sz w:val="32"/>
          <w:szCs w:val="32"/>
        </w:rPr>
        <w:t>相关记录保存留档</w:t>
      </w:r>
      <w:r>
        <w:rPr>
          <w:rFonts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做好各类往来文件的存档</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由监理</w:t>
      </w:r>
      <w:r>
        <w:rPr>
          <w:rFonts w:hint="eastAsia" w:ascii="仿宋_GB2312" w:hAnsi="黑体" w:eastAsia="仿宋_GB2312"/>
          <w:sz w:val="32"/>
          <w:szCs w:val="32"/>
        </w:rPr>
        <w:t>单位</w:t>
      </w:r>
      <w:r>
        <w:rPr>
          <w:rFonts w:ascii="仿宋_GB2312" w:hAnsi="黑体" w:eastAsia="仿宋_GB2312"/>
          <w:sz w:val="32"/>
          <w:szCs w:val="32"/>
        </w:rPr>
        <w:t>指派专人负责本项目相关文档的管理工作；项目结束后监理</w:t>
      </w:r>
      <w:r>
        <w:rPr>
          <w:rFonts w:hint="eastAsia" w:ascii="仿宋_GB2312" w:hAnsi="黑体" w:eastAsia="仿宋_GB2312"/>
          <w:sz w:val="32"/>
          <w:szCs w:val="32"/>
        </w:rPr>
        <w:t>单位</w:t>
      </w:r>
      <w:r>
        <w:rPr>
          <w:rFonts w:ascii="仿宋_GB2312" w:hAnsi="黑体" w:eastAsia="仿宋_GB2312"/>
          <w:sz w:val="32"/>
          <w:szCs w:val="32"/>
        </w:rPr>
        <w:t>负责将全部项目相关信息提交给建设单位；监理</w:t>
      </w:r>
      <w:r>
        <w:rPr>
          <w:rFonts w:hint="eastAsia" w:ascii="仿宋_GB2312" w:hAnsi="黑体" w:eastAsia="仿宋_GB2312"/>
          <w:sz w:val="32"/>
          <w:szCs w:val="32"/>
        </w:rPr>
        <w:t>单位</w:t>
      </w:r>
      <w:r>
        <w:rPr>
          <w:rFonts w:ascii="仿宋_GB2312" w:hAnsi="黑体" w:eastAsia="仿宋_GB2312"/>
          <w:sz w:val="32"/>
          <w:szCs w:val="32"/>
        </w:rPr>
        <w:t>应严格履行往来文档的签收手续，建设单位、承建单位应指定专人签收文件。</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做好项目例会、协调会、专题会的会议纪要</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本项目实施过程中召开的所有会议，均应在会后形成会议纪要。与会各方人员须在会议纪要上签字。由监理工程师负责编制，交总监理工程师审核后，发放到有关各方。有关各方应履行签收手续。</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管理好实施期间的各类技术文档和档案</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监理</w:t>
      </w:r>
      <w:r>
        <w:rPr>
          <w:rFonts w:hint="eastAsia" w:ascii="仿宋_GB2312" w:hAnsi="黑体" w:eastAsia="仿宋_GB2312"/>
          <w:sz w:val="32"/>
          <w:szCs w:val="32"/>
        </w:rPr>
        <w:t>单位</w:t>
      </w:r>
      <w:r>
        <w:rPr>
          <w:rFonts w:ascii="仿宋_GB2312" w:hAnsi="黑体" w:eastAsia="仿宋_GB2312"/>
          <w:sz w:val="32"/>
          <w:szCs w:val="32"/>
        </w:rPr>
        <w:t>需督促承建单位及时整理必须报送的各类项目文档，经监理</w:t>
      </w:r>
      <w:r>
        <w:rPr>
          <w:rFonts w:hint="eastAsia" w:ascii="仿宋_GB2312" w:hAnsi="黑体" w:eastAsia="仿宋_GB2312"/>
          <w:sz w:val="32"/>
          <w:szCs w:val="32"/>
        </w:rPr>
        <w:t>单位</w:t>
      </w:r>
      <w:r>
        <w:rPr>
          <w:rFonts w:ascii="仿宋_GB2312" w:hAnsi="黑体" w:eastAsia="仿宋_GB2312"/>
          <w:sz w:val="32"/>
          <w:szCs w:val="32"/>
        </w:rPr>
        <w:t>检查、审核后，移交建设单位。</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监理</w:t>
      </w:r>
      <w:r>
        <w:rPr>
          <w:rFonts w:hint="eastAsia" w:ascii="仿宋_GB2312" w:hAnsi="黑体" w:eastAsia="仿宋_GB2312"/>
          <w:sz w:val="32"/>
          <w:szCs w:val="32"/>
        </w:rPr>
        <w:t>单位</w:t>
      </w:r>
      <w:r>
        <w:rPr>
          <w:rFonts w:ascii="仿宋_GB2312" w:hAnsi="黑体" w:eastAsia="仿宋_GB2312"/>
          <w:sz w:val="32"/>
          <w:szCs w:val="32"/>
        </w:rPr>
        <w:t>负责协助建设单位落实档案管理工作；监督和指导承建单位对分项实施文档的收集、整理及归档工作；对已形成档案的规范性进行审核。</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监理通知</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对于项目</w:t>
      </w:r>
      <w:r>
        <w:rPr>
          <w:rFonts w:hint="eastAsia" w:ascii="仿宋_GB2312" w:hAnsi="黑体" w:eastAsia="仿宋_GB2312"/>
          <w:sz w:val="32"/>
          <w:szCs w:val="32"/>
        </w:rPr>
        <w:t>实施过程</w:t>
      </w:r>
      <w:r>
        <w:rPr>
          <w:rFonts w:ascii="仿宋_GB2312" w:hAnsi="黑体" w:eastAsia="仿宋_GB2312"/>
          <w:sz w:val="32"/>
          <w:szCs w:val="32"/>
        </w:rPr>
        <w:t>中出现的问题、预估的风险以及其他需要沟通的事项，监理</w:t>
      </w:r>
      <w:r>
        <w:rPr>
          <w:rFonts w:hint="eastAsia" w:ascii="仿宋_GB2312" w:hAnsi="黑体" w:eastAsia="仿宋_GB2312"/>
          <w:sz w:val="32"/>
          <w:szCs w:val="32"/>
        </w:rPr>
        <w:t>单位</w:t>
      </w:r>
      <w:r>
        <w:rPr>
          <w:rFonts w:ascii="仿宋_GB2312" w:hAnsi="黑体" w:eastAsia="仿宋_GB2312"/>
          <w:sz w:val="32"/>
          <w:szCs w:val="32"/>
        </w:rPr>
        <w:t>都可以通过《监理工作联系单》、《监理通知单》等书面方式下达监理指令、给出建议或要求。《监理工作联系单》、《监理通知单》需要由监理工程师签字盖章，并要求接收方进行签收和答复。</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（6）</w:t>
      </w:r>
      <w:r>
        <w:rPr>
          <w:rFonts w:ascii="仿宋_GB2312" w:hAnsi="黑体" w:eastAsia="仿宋_GB2312"/>
          <w:sz w:val="32"/>
          <w:szCs w:val="32"/>
        </w:rPr>
        <w:t>阶段性项目总结</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监理阶段性项目总结报告应包括以下内容：项目概况；监理组织机构、监理人员和投入的监理设施；本合同履行情况；监理工作成效；实施过程中出现的问题及其处理情况的建议；项目照片等。</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（7）</w:t>
      </w:r>
      <w:r>
        <w:rPr>
          <w:rFonts w:ascii="仿宋_GB2312" w:hAnsi="黑体" w:eastAsia="仿宋_GB2312"/>
          <w:sz w:val="32"/>
          <w:szCs w:val="32"/>
        </w:rPr>
        <w:t>承建单位提交的技术文档</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监理</w:t>
      </w:r>
      <w:r>
        <w:rPr>
          <w:rFonts w:hint="eastAsia" w:ascii="仿宋_GB2312" w:hAnsi="黑体" w:eastAsia="仿宋_GB2312"/>
          <w:sz w:val="32"/>
          <w:szCs w:val="32"/>
        </w:rPr>
        <w:t>单位</w:t>
      </w:r>
      <w:r>
        <w:rPr>
          <w:rFonts w:ascii="仿宋_GB2312" w:hAnsi="黑体" w:eastAsia="仿宋_GB2312"/>
          <w:sz w:val="32"/>
          <w:szCs w:val="32"/>
        </w:rPr>
        <w:t>通过督促承建单位文档的规范与编写，包括方案、设计、实施、调试、验收和维护等全过程的记录和依据，使项目的风险最小化，项目成果得到完整体现。</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（8）沟通协调</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负责协调本项目所涉及的各承建单位之间的工作关系，并协调解决项目建设过程中的各类纠纷；</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建立项目的有效沟通机制，采取有效措施使项目信息在业主方和承建方之间保持顺畅流通；</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积极协调</w:t>
      </w:r>
      <w:r>
        <w:rPr>
          <w:rFonts w:hint="eastAsia" w:ascii="仿宋_GB2312" w:hAnsi="黑体" w:eastAsia="仿宋_GB2312"/>
          <w:sz w:val="32"/>
          <w:szCs w:val="32"/>
          <w:lang w:eastAsia="zh-CN"/>
        </w:rPr>
        <w:t>采购方</w:t>
      </w:r>
      <w:r>
        <w:rPr>
          <w:rFonts w:ascii="仿宋_GB2312" w:hAnsi="黑体" w:eastAsia="仿宋_GB2312"/>
          <w:sz w:val="32"/>
          <w:szCs w:val="32"/>
        </w:rPr>
        <w:t>与承建方、承建方与承建方之间的关系，针对项目实施过程中出现的问题，及时协调各承建方配合解决，提出监理意见，避免各承建方的推诿现象，落实各承建方的职责，并及时将问题解决情况向</w:t>
      </w:r>
      <w:r>
        <w:rPr>
          <w:rFonts w:hint="eastAsia" w:ascii="仿宋_GB2312" w:hAnsi="黑体" w:eastAsia="仿宋_GB2312"/>
          <w:sz w:val="32"/>
          <w:szCs w:val="32"/>
          <w:lang w:eastAsia="zh-CN"/>
        </w:rPr>
        <w:t>采购方</w:t>
      </w:r>
      <w:r>
        <w:rPr>
          <w:rFonts w:ascii="仿宋_GB2312" w:hAnsi="黑体" w:eastAsia="仿宋_GB2312"/>
          <w:sz w:val="32"/>
          <w:szCs w:val="32"/>
        </w:rPr>
        <w:t>汇报，推动项目实施过程中问题的解决；</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通过必要的会议制度实施协调工作，主要包括专题讨论会、问题通报会、监理协调会和</w:t>
      </w:r>
      <w:r>
        <w:rPr>
          <w:rFonts w:hint="eastAsia" w:ascii="仿宋_GB2312" w:hAnsi="黑体" w:eastAsia="仿宋_GB2312"/>
          <w:sz w:val="32"/>
          <w:szCs w:val="32"/>
          <w:lang w:eastAsia="zh-CN"/>
        </w:rPr>
        <w:t>采购方</w:t>
      </w:r>
      <w:r>
        <w:rPr>
          <w:rFonts w:ascii="仿宋_GB2312" w:hAnsi="黑体" w:eastAsia="仿宋_GB2312"/>
          <w:sz w:val="32"/>
          <w:szCs w:val="32"/>
        </w:rPr>
        <w:t>组织的有关会议等，提出监理建议，记录会议内容；</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对于项目</w:t>
      </w:r>
      <w:r>
        <w:rPr>
          <w:rFonts w:hint="eastAsia" w:ascii="仿宋_GB2312" w:hAnsi="黑体" w:eastAsia="仿宋_GB2312"/>
          <w:sz w:val="32"/>
          <w:szCs w:val="32"/>
        </w:rPr>
        <w:t>实施</w:t>
      </w:r>
      <w:r>
        <w:rPr>
          <w:rFonts w:ascii="仿宋_GB2312" w:hAnsi="黑体" w:eastAsia="仿宋_GB2312"/>
          <w:sz w:val="32"/>
          <w:szCs w:val="32"/>
        </w:rPr>
        <w:t>过程中出现的可能影响整体建设的情况，及时予以通报并召开相关会议，进行组织协调。</w:t>
      </w:r>
    </w:p>
    <w:p>
      <w:pPr>
        <w:numPr>
          <w:ilvl w:val="0"/>
          <w:numId w:val="0"/>
        </w:numPr>
        <w:pBdr>
          <w:top w:val="none" w:color="auto" w:sz="0" w:space="1"/>
          <w:left w:val="none" w:color="auto" w:sz="0" w:space="4"/>
          <w:bottom w:val="none" w:color="auto" w:sz="0" w:space="1"/>
          <w:right w:val="none" w:color="auto" w:sz="0" w:space="4"/>
        </w:pBdr>
        <w:spacing w:line="579" w:lineRule="exact"/>
        <w:ind w:firstLine="640" w:firstLineChars="200"/>
        <w:rPr>
          <w:rFonts w:hint="eastAsia" w:ascii="黑体" w:hAnsi="黑体" w:eastAsia="黑体" w:cs="楷体_GB2312"/>
          <w:bCs/>
          <w:sz w:val="32"/>
          <w:szCs w:val="32"/>
        </w:rPr>
      </w:pPr>
      <w:r>
        <w:rPr>
          <w:rFonts w:hint="eastAsia" w:ascii="黑体" w:hAnsi="黑体" w:eastAsia="黑体" w:cs="楷体_GB2312"/>
          <w:bCs/>
          <w:sz w:val="32"/>
          <w:szCs w:val="32"/>
          <w:lang w:val="en-US" w:eastAsia="zh-CN"/>
        </w:rPr>
        <w:t>四、</w:t>
      </w:r>
      <w:r>
        <w:rPr>
          <w:rFonts w:hint="eastAsia" w:ascii="黑体" w:hAnsi="黑体" w:eastAsia="黑体" w:cs="楷体_GB2312"/>
          <w:bCs/>
          <w:sz w:val="32"/>
          <w:szCs w:val="32"/>
        </w:rPr>
        <w:t>资格要求</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（一）</w:t>
      </w:r>
      <w:r>
        <w:rPr>
          <w:rFonts w:hint="eastAsia" w:ascii="仿宋_GB2312" w:hAnsi="黑体" w:eastAsia="仿宋_GB2312" w:cs="Times New Roman"/>
          <w:sz w:val="32"/>
          <w:szCs w:val="32"/>
        </w:rPr>
        <w:t>符合《中华人民共和国政府采购法》第二十二条资格条件：</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rPr>
        <w:t>具有独立承担民事责任的能力；</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2.</w:t>
      </w:r>
      <w:r>
        <w:rPr>
          <w:rFonts w:hint="eastAsia" w:ascii="仿宋_GB2312" w:hAnsi="黑体" w:eastAsia="仿宋_GB2312" w:cs="Times New Roman"/>
          <w:sz w:val="32"/>
          <w:szCs w:val="32"/>
        </w:rPr>
        <w:t>具有良好的商业信誉和健全的财务会计制度；</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3.</w:t>
      </w:r>
      <w:r>
        <w:rPr>
          <w:rFonts w:hint="eastAsia" w:ascii="仿宋_GB2312" w:hAnsi="黑体" w:eastAsia="仿宋_GB2312" w:cs="Times New Roman"/>
          <w:sz w:val="32"/>
          <w:szCs w:val="32"/>
        </w:rPr>
        <w:t>具有履行合同所必需的设备和专业技术能力；</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4.</w:t>
      </w:r>
      <w:r>
        <w:rPr>
          <w:rFonts w:hint="eastAsia" w:ascii="仿宋_GB2312" w:hAnsi="黑体" w:eastAsia="仿宋_GB2312" w:cs="Times New Roman"/>
          <w:sz w:val="32"/>
          <w:szCs w:val="32"/>
        </w:rPr>
        <w:t>有依法缴纳税收和社会保障资金的良好记录；</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5.</w:t>
      </w:r>
      <w:r>
        <w:rPr>
          <w:rFonts w:hint="eastAsia" w:ascii="仿宋_GB2312" w:hAnsi="黑体" w:eastAsia="仿宋_GB2312" w:cs="Times New Roman"/>
          <w:sz w:val="32"/>
          <w:szCs w:val="32"/>
        </w:rPr>
        <w:t>参加政府采购活动前3年内，在经营活动中没有重大违法记录；</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6.</w:t>
      </w:r>
      <w:r>
        <w:rPr>
          <w:rFonts w:hint="eastAsia" w:ascii="仿宋_GB2312" w:hAnsi="黑体" w:eastAsia="仿宋_GB2312" w:cs="Times New Roman"/>
          <w:sz w:val="32"/>
          <w:szCs w:val="32"/>
        </w:rPr>
        <w:t>法律、行政法规规定的其他条件。</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（二）</w:t>
      </w:r>
      <w:r>
        <w:rPr>
          <w:rFonts w:hint="eastAsia" w:ascii="仿宋_GB2312" w:hAnsi="黑体" w:eastAsia="仿宋_GB2312" w:cs="Times New Roman"/>
          <w:sz w:val="32"/>
          <w:szCs w:val="32"/>
        </w:rPr>
        <w:t>国有企业；事业单位；军队单位；成立三年以上的非外资独资企业或外资控股企业。</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（三）</w:t>
      </w:r>
      <w:r>
        <w:rPr>
          <w:rFonts w:hint="eastAsia" w:ascii="仿宋_GB2312" w:hAnsi="黑体" w:eastAsia="仿宋_GB2312" w:cs="Times New Roman"/>
          <w:sz w:val="32"/>
          <w:szCs w:val="32"/>
        </w:rPr>
        <w:t>单位负责人为同一人或者存在直接控股、管理关系的不同</w:t>
      </w:r>
      <w:r>
        <w:rPr>
          <w:rFonts w:hint="eastAsia" w:ascii="仿宋_GB2312" w:hAnsi="黑体" w:eastAsia="仿宋_GB2312" w:cs="Times New Roman"/>
          <w:sz w:val="32"/>
          <w:szCs w:val="32"/>
          <w:lang w:eastAsia="zh-CN"/>
        </w:rPr>
        <w:t>供货商</w:t>
      </w:r>
      <w:r>
        <w:rPr>
          <w:rFonts w:hint="eastAsia" w:ascii="仿宋_GB2312" w:hAnsi="黑体" w:eastAsia="仿宋_GB2312" w:cs="Times New Roman"/>
          <w:sz w:val="32"/>
          <w:szCs w:val="32"/>
        </w:rPr>
        <w:t>，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（四）未被列入军队采购失信名单、军队供应商暂停名单，未在军队采购暂停名单内、</w:t>
      </w:r>
      <w:r>
        <w:rPr>
          <w:rFonts w:hint="eastAsia" w:ascii="仿宋_GB2312" w:hAnsi="黑体" w:eastAsia="仿宋_GB2312" w:cs="Times New Roman"/>
          <w:sz w:val="32"/>
          <w:szCs w:val="32"/>
        </w:rPr>
        <w:t>未被列入政府采购失信名单、未被“信用中国”网站列入失信被执行人、重大税收违法案件当事人。</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（五）</w:t>
      </w:r>
      <w:r>
        <w:rPr>
          <w:rFonts w:hint="eastAsia" w:ascii="仿宋_GB2312" w:hAnsi="黑体" w:eastAsia="仿宋_GB2312" w:cs="Times New Roman"/>
          <w:sz w:val="32"/>
          <w:szCs w:val="32"/>
        </w:rPr>
        <w:t>本项目不接受联合体投标。</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（六）</w:t>
      </w:r>
      <w:r>
        <w:rPr>
          <w:rFonts w:hint="eastAsia" w:ascii="仿宋_GB2312" w:hAnsi="黑体" w:eastAsia="仿宋_GB2312" w:cs="Times New Roman"/>
          <w:sz w:val="32"/>
          <w:szCs w:val="32"/>
        </w:rPr>
        <w:t>本项目特定资质：</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1</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具备建设行政主管部门颁发的工程监理综合资质</w:t>
      </w:r>
      <w:r>
        <w:rPr>
          <w:rFonts w:hint="eastAsia" w:ascii="仿宋_GB2312" w:hAnsi="黑体" w:eastAsia="仿宋_GB2312" w:cs="Times New Roman"/>
          <w:sz w:val="32"/>
          <w:szCs w:val="32"/>
          <w:lang w:val="en-US" w:eastAsia="zh-CN"/>
        </w:rPr>
        <w:t>或</w:t>
      </w:r>
      <w:r>
        <w:rPr>
          <w:rFonts w:hint="eastAsia" w:ascii="仿宋_GB2312" w:hAnsi="黑体" w:eastAsia="仿宋_GB2312" w:cs="Times New Roman"/>
          <w:sz w:val="32"/>
          <w:szCs w:val="32"/>
        </w:rPr>
        <w:t>通信工程监理乙级及以上资质。</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val="en-US" w:eastAsia="zh-CN"/>
        </w:rPr>
        <w:t>2</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val="en-US" w:eastAsia="zh-CN"/>
        </w:rPr>
        <w:t>监理单位</w:t>
      </w:r>
      <w:r>
        <w:rPr>
          <w:rFonts w:hint="eastAsia" w:ascii="仿宋_GB2312" w:hAnsi="黑体" w:eastAsia="仿宋_GB2312" w:cs="Times New Roman"/>
          <w:sz w:val="32"/>
          <w:szCs w:val="32"/>
        </w:rPr>
        <w:t>应具备涉密信息系统集成乙级及以上资质（业务种类：工程监理）。</w:t>
      </w:r>
    </w:p>
    <w:p>
      <w:pPr>
        <w:spacing w:line="579" w:lineRule="exact"/>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（七）</w:t>
      </w:r>
      <w:r>
        <w:rPr>
          <w:rFonts w:hint="eastAsia" w:ascii="仿宋_GB2312" w:hAnsi="黑体" w:eastAsia="仿宋_GB2312" w:cs="Times New Roman"/>
          <w:sz w:val="32"/>
          <w:szCs w:val="32"/>
        </w:rPr>
        <w:t>质量管理体系：无。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（八）</w:t>
      </w:r>
      <w:r>
        <w:rPr>
          <w:rFonts w:hint="eastAsia" w:ascii="仿宋_GB2312" w:hAnsi="黑体" w:eastAsia="仿宋_GB2312" w:cs="Times New Roman"/>
          <w:sz w:val="32"/>
          <w:szCs w:val="32"/>
        </w:rPr>
        <w:t>业绩要求：需提供自2021年1月1日（以合同签订时间为准）起至投标截止之日止承担的单个投资金额为2000万及以上至少2个部队项目业绩；须提供合同关键页</w:t>
      </w:r>
      <w:r>
        <w:rPr>
          <w:rFonts w:hint="eastAsia" w:ascii="仿宋_GB2312" w:hAnsi="黑体" w:eastAsia="仿宋_GB2312" w:cs="Times New Roman"/>
          <w:sz w:val="32"/>
          <w:szCs w:val="32"/>
          <w:lang w:val="en-US" w:eastAsia="zh-CN"/>
        </w:rPr>
        <w:t>及相关证明材料</w:t>
      </w:r>
      <w:r>
        <w:rPr>
          <w:rFonts w:hint="eastAsia" w:ascii="仿宋_GB2312" w:hAnsi="黑体" w:eastAsia="仿宋_GB2312" w:cs="Times New Roman"/>
          <w:sz w:val="32"/>
          <w:szCs w:val="32"/>
        </w:rPr>
        <w:t>。</w:t>
      </w:r>
    </w:p>
    <w:p>
      <w:pPr>
        <w:pStyle w:val="11"/>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outlineLvl w:val="1"/>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、遵循的标准规范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黑体" w:hAnsi="黑体" w:eastAsia="黑体"/>
          <w:sz w:val="32"/>
          <w:szCs w:val="32"/>
          <w:highlight w:val="yellow"/>
        </w:rPr>
      </w:pPr>
      <w:r>
        <w:rPr>
          <w:rFonts w:hint="eastAsia" w:ascii="仿宋_GB2312" w:hAnsi="黑体" w:eastAsia="仿宋_GB2312"/>
          <w:sz w:val="32"/>
          <w:szCs w:val="32"/>
        </w:rPr>
        <w:t>依据</w:t>
      </w:r>
      <w:r>
        <w:rPr>
          <w:rFonts w:ascii="仿宋_GB2312" w:hAnsi="黑体" w:eastAsia="仿宋_GB2312"/>
          <w:sz w:val="32"/>
          <w:szCs w:val="32"/>
        </w:rPr>
        <w:t>《信息技术服务 监理 第1部分：总则》GB/T 19668.1-2014</w:t>
      </w:r>
      <w:r>
        <w:rPr>
          <w:rFonts w:hint="eastAsia" w:ascii="仿宋_GB2312" w:hAnsi="黑体" w:eastAsia="仿宋_GB2312"/>
          <w:sz w:val="32"/>
          <w:szCs w:val="32"/>
        </w:rPr>
        <w:t>等有关要求。</w:t>
      </w:r>
    </w:p>
    <w:p>
      <w:pPr>
        <w:pStyle w:val="11"/>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outlineLvl w:val="1"/>
        <w:rPr>
          <w:rFonts w:ascii="仿宋_GB2312" w:hAnsi="黑体" w:eastAsia="仿宋_GB2312"/>
          <w:sz w:val="32"/>
          <w:szCs w:val="32"/>
        </w:rPr>
      </w:pPr>
      <w:r>
        <w:rPr>
          <w:rFonts w:hint="eastAsia" w:ascii="黑体" w:hAnsi="黑体" w:eastAsia="黑体"/>
          <w:sz w:val="32"/>
          <w:szCs w:val="32"/>
          <w:lang w:val="en-US" w:eastAsia="zh-CN"/>
        </w:rPr>
        <w:t>六</w:t>
      </w:r>
      <w:r>
        <w:rPr>
          <w:rFonts w:hint="eastAsia" w:ascii="黑体" w:hAnsi="黑体" w:eastAsia="黑体"/>
          <w:sz w:val="32"/>
          <w:szCs w:val="32"/>
        </w:rPr>
        <w:t>、项目实施人员要求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仿宋_GB2312" w:hAnsi="黑体" w:eastAsia="仿宋_GB2312"/>
          <w:sz w:val="32"/>
          <w:szCs w:val="32"/>
        </w:rPr>
      </w:pPr>
      <w:r>
        <w:rPr>
          <w:rFonts w:ascii="仿宋_GB2312" w:hAnsi="黑体" w:eastAsia="仿宋_GB2312"/>
          <w:sz w:val="32"/>
          <w:szCs w:val="32"/>
        </w:rPr>
        <w:t>监理单位建立专职监理机构（监理组），实行总监理工程师负责制，在安排组织机构时须考虑合理的管理层次和职能划分</w:t>
      </w:r>
      <w:r>
        <w:rPr>
          <w:rFonts w:hint="eastAsia" w:ascii="仿宋_GB2312" w:hAnsi="黑体" w:eastAsia="仿宋_GB2312"/>
          <w:sz w:val="32"/>
          <w:szCs w:val="32"/>
          <w:lang w:eastAsia="zh-CN"/>
        </w:rPr>
        <w:t>，</w:t>
      </w:r>
      <w:r>
        <w:rPr>
          <w:rFonts w:hint="eastAsia" w:ascii="仿宋_GB2312" w:hAnsi="黑体" w:eastAsia="仿宋_GB2312"/>
          <w:sz w:val="32"/>
          <w:szCs w:val="32"/>
        </w:rPr>
        <w:t>本项目实施交付驻场监理</w:t>
      </w:r>
      <w:r>
        <w:rPr>
          <w:rFonts w:hint="eastAsia" w:ascii="仿宋_GB2312" w:hAnsi="黑体" w:eastAsia="仿宋_GB2312"/>
          <w:sz w:val="32"/>
          <w:szCs w:val="32"/>
          <w:lang w:val="en-US" w:eastAsia="zh-CN"/>
        </w:rPr>
        <w:t>人</w:t>
      </w:r>
      <w:r>
        <w:rPr>
          <w:rFonts w:hint="eastAsia" w:ascii="仿宋_GB2312" w:hAnsi="黑体" w:eastAsia="仿宋_GB2312"/>
          <w:sz w:val="32"/>
          <w:szCs w:val="32"/>
        </w:rPr>
        <w:t>员</w:t>
      </w:r>
      <w:r>
        <w:rPr>
          <w:rFonts w:hint="eastAsia" w:ascii="仿宋_GB2312" w:hAnsi="黑体" w:eastAsia="仿宋_GB2312"/>
          <w:sz w:val="32"/>
          <w:szCs w:val="32"/>
          <w:lang w:val="en-US" w:eastAsia="zh-CN"/>
        </w:rPr>
        <w:t>不少于2人</w:t>
      </w:r>
      <w:r>
        <w:rPr>
          <w:rFonts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ascii="仿宋_GB2312" w:hAnsi="黑体" w:eastAsia="仿宋_GB2312"/>
          <w:color w:val="000000" w:themeColor="text1"/>
          <w:sz w:val="32"/>
          <w:szCs w:val="32"/>
          <w:highlight w:val="none"/>
          <w14:textFill>
            <w14:solidFill>
              <w14:schemeClr w14:val="tx1"/>
            </w14:solidFill>
          </w14:textFill>
        </w:rPr>
        <w:t>总监理工程师</w:t>
      </w:r>
      <w:r>
        <w:rPr>
          <w:rFonts w:hint="eastAsia" w:ascii="仿宋_GB2312" w:hAnsi="黑体" w:eastAsia="仿宋_GB2312"/>
          <w:color w:val="000000" w:themeColor="text1"/>
          <w:sz w:val="32"/>
          <w:szCs w:val="32"/>
          <w:highlight w:val="none"/>
          <w14:textFill>
            <w14:solidFill>
              <w14:schemeClr w14:val="tx1"/>
            </w14:solidFill>
          </w14:textFill>
        </w:rPr>
        <w:t>1人</w:t>
      </w:r>
      <w:r>
        <w:rPr>
          <w:rFonts w:ascii="仿宋_GB2312" w:hAnsi="黑体" w:eastAsia="仿宋_GB2312"/>
          <w:color w:val="000000" w:themeColor="text1"/>
          <w:sz w:val="32"/>
          <w:szCs w:val="32"/>
          <w:highlight w:val="none"/>
          <w14:textFill>
            <w14:solidFill>
              <w14:schemeClr w14:val="tx1"/>
            </w14:solidFill>
          </w14:textFill>
        </w:rPr>
        <w:t>，</w:t>
      </w:r>
      <w:r>
        <w:rPr>
          <w:rFonts w:hint="eastAsia" w:ascii="仿宋_GB2312" w:hAnsi="黑体" w:eastAsia="仿宋_GB2312" w:cs="Times New Roman"/>
          <w:sz w:val="32"/>
          <w:szCs w:val="32"/>
        </w:rPr>
        <w:t>为监理单位在职人员（</w:t>
      </w:r>
      <w:r>
        <w:rPr>
          <w:rFonts w:hint="eastAsia" w:ascii="仿宋_GB2312" w:hAnsi="黑体" w:eastAsia="仿宋_GB2312" w:cs="Times New Roman"/>
          <w:sz w:val="32"/>
          <w:szCs w:val="32"/>
          <w:lang w:val="en-US" w:eastAsia="zh-CN"/>
        </w:rPr>
        <w:t>提供近3个月养老保险</w:t>
      </w:r>
      <w:r>
        <w:rPr>
          <w:rFonts w:hint="eastAsia" w:ascii="仿宋_GB2312" w:hAnsi="黑体" w:eastAsia="仿宋_GB2312" w:cs="Times New Roman"/>
          <w:sz w:val="32"/>
          <w:szCs w:val="32"/>
        </w:rPr>
        <w:t>证明材料复印件，加盖投标人鲜章）；有5年以上监理工作经验（以注册监理工程师证书发证日期为准计算）；提供</w:t>
      </w:r>
      <w:r>
        <w:rPr>
          <w:rFonts w:hint="eastAsia" w:ascii="仿宋_GB2312" w:hAnsi="黑体" w:eastAsia="仿宋_GB2312" w:cs="Times New Roman"/>
          <w:sz w:val="32"/>
          <w:szCs w:val="32"/>
          <w:lang w:val="en-US" w:eastAsia="zh-CN"/>
        </w:rPr>
        <w:t>不少于1个</w:t>
      </w:r>
      <w:r>
        <w:rPr>
          <w:rFonts w:hint="eastAsia" w:ascii="仿宋_GB2312" w:hAnsi="黑体" w:eastAsia="仿宋_GB2312" w:cs="Times New Roman"/>
          <w:sz w:val="32"/>
          <w:szCs w:val="32"/>
        </w:rPr>
        <w:t>自2021年1月1日起至投标截止之日止（以竣工验收日期为准）承担的单个投资金额为2000万及以上</w:t>
      </w:r>
      <w:r>
        <w:rPr>
          <w:rFonts w:hint="eastAsia" w:ascii="仿宋_GB2312" w:hAnsi="黑体" w:eastAsia="仿宋_GB2312" w:cs="Times New Roman"/>
          <w:sz w:val="32"/>
          <w:szCs w:val="32"/>
          <w:lang w:val="en-US" w:eastAsia="zh-CN"/>
        </w:rPr>
        <w:t>信息化项目</w:t>
      </w:r>
      <w:r>
        <w:rPr>
          <w:rFonts w:hint="eastAsia" w:ascii="仿宋_GB2312" w:hAnsi="黑体" w:eastAsia="仿宋_GB2312" w:cs="Times New Roman"/>
          <w:sz w:val="32"/>
          <w:szCs w:val="32"/>
        </w:rPr>
        <w:t>担任总监理工程师（提供合同关键页</w:t>
      </w:r>
      <w:r>
        <w:rPr>
          <w:rFonts w:hint="eastAsia" w:ascii="仿宋_GB2312" w:hAnsi="黑体" w:eastAsia="仿宋_GB2312" w:cs="Times New Roman"/>
          <w:sz w:val="32"/>
          <w:szCs w:val="32"/>
          <w:lang w:val="en-US" w:eastAsia="zh-CN"/>
        </w:rPr>
        <w:t>及相关证明材料</w:t>
      </w:r>
      <w:r>
        <w:rPr>
          <w:rFonts w:hint="eastAsia" w:ascii="仿宋_GB2312" w:hAnsi="黑体" w:eastAsia="仿宋_GB2312" w:cs="Times New Roman"/>
          <w:sz w:val="32"/>
          <w:szCs w:val="32"/>
        </w:rPr>
        <w:t>）；须同时具备注册监理工程师证书（注册专业为“机电安装”或“通信工程”）、一级注册建造师证书和高级工程师职称证书（投标时须提供相关证明材料，加盖投标人鲜章）。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专业监理工程师1人，为监理单位在职人员（</w:t>
      </w:r>
      <w:r>
        <w:rPr>
          <w:rFonts w:hint="eastAsia" w:ascii="仿宋_GB2312" w:hAnsi="黑体" w:eastAsia="仿宋_GB2312" w:cs="Times New Roman"/>
          <w:sz w:val="32"/>
          <w:szCs w:val="32"/>
          <w:lang w:val="en-US" w:eastAsia="zh-CN"/>
        </w:rPr>
        <w:t>提供近3个月养老保险</w:t>
      </w:r>
      <w:r>
        <w:rPr>
          <w:rFonts w:hint="eastAsia" w:ascii="仿宋_GB2312" w:hAnsi="黑体" w:eastAsia="仿宋_GB2312" w:cs="Times New Roman"/>
          <w:sz w:val="32"/>
          <w:szCs w:val="32"/>
        </w:rPr>
        <w:t>证明材料复印件，加盖投标人鲜章）；有3年以上监理工作经验（以注册监理工程师证书发证日期为准计算）；须具备注册监理工程师证书（注册专业为“机电安装专业”或“通信工程”）(投标时须提供证书复印件,加盖投标人鲜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七</w:t>
      </w:r>
      <w:r>
        <w:rPr>
          <w:rFonts w:hint="eastAsia" w:ascii="仿宋_GB2312" w:hAnsi="黑体" w:eastAsia="仿宋_GB2312" w:cs="Times New Roman"/>
          <w:sz w:val="32"/>
          <w:szCs w:val="32"/>
        </w:rPr>
        <w:t>、其他监理工作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协助</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通过各种组织方式，识别项目风险，正确评估项目风险，给予合理的风险管理建议，监控和化解风险，最终保证项目目标的实现；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按照国家相关规定和</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的要求及规定，协助</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组织和协调项目的验收工作。编制监理竣工资料等；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为</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提供技术咨询服务，对项目建设中的技术难点与新技术为</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提供解答；结合</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需求提供咨询意见；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完成项目相关的其他监理工作。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八</w:t>
      </w:r>
      <w:r>
        <w:rPr>
          <w:rFonts w:hint="eastAsia" w:ascii="仿宋_GB2312" w:hAnsi="黑体" w:eastAsia="仿宋_GB2312" w:cs="Times New Roman"/>
          <w:sz w:val="32"/>
          <w:szCs w:val="32"/>
        </w:rPr>
        <w:t>、交付要求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督促承建单位提交需求调研记录、需求确认、系统测试用例、测试报告、系统部署报告、用户测试报告、试运行报告等资料，并做好归档。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rPr>
        <w:t>监理单位需根据项目实施基础硬件模块、基础软件模块、业务信息系统等业务，分别安排监理人员到新疆维吾尔自治区昌吉回族自治州呼图壁县、河北省石家庄市进行项目监督。专项服务期间监理单位安排监理人员到新疆维吾尔自治区昌吉回族自治州呼图壁县、河北省石家庄市进行每三个月定期回访，并记录相关回访记录。除承担具体项目监理服务工作之外，须按</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要求及时完成各类信息化日常工作事务；工作时间与</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保持一致，</w:t>
      </w:r>
      <w:r>
        <w:rPr>
          <w:rFonts w:hint="eastAsia" w:ascii="仿宋_GB2312" w:hAnsi="黑体" w:eastAsia="仿宋_GB2312" w:cs="Times New Roman"/>
          <w:sz w:val="32"/>
          <w:szCs w:val="32"/>
          <w:lang w:eastAsia="zh-CN"/>
        </w:rPr>
        <w:t>采购方</w:t>
      </w:r>
      <w:r>
        <w:rPr>
          <w:rFonts w:hint="eastAsia" w:ascii="仿宋_GB2312" w:hAnsi="黑体" w:eastAsia="仿宋_GB2312" w:cs="Times New Roman"/>
          <w:sz w:val="32"/>
          <w:szCs w:val="32"/>
        </w:rPr>
        <w:t>有权要求更换不符合要求的监理人员。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s="Times New Roman"/>
          <w:sz w:val="32"/>
          <w:szCs w:val="32"/>
        </w:rPr>
        <w:sectPr>
          <w:footerReference r:id="rId4" w:type="default"/>
          <w:footerReference r:id="rId5" w:type="even"/>
          <w:pgSz w:w="11906" w:h="16838"/>
          <w:pgMar w:top="1418" w:right="1474" w:bottom="1418" w:left="1588" w:header="567" w:footer="992" w:gutter="0"/>
          <w:cols w:space="425" w:num="1"/>
          <w:docGrid w:type="lines" w:linePitch="437" w:charSpace="0"/>
        </w:sectPr>
      </w:pPr>
    </w:p>
    <w:p>
      <w:pPr>
        <w:pStyle w:val="2"/>
      </w:pPr>
    </w:p>
    <w:p>
      <w:pPr>
        <w:pStyle w:val="11"/>
        <w:ind w:left="0"/>
        <w:outlineLvl w:val="1"/>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、验收标准和方法</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验收标准：合同执行完毕后，</w:t>
      </w:r>
      <w:r>
        <w:rPr>
          <w:rFonts w:hint="eastAsia" w:ascii="仿宋_GB2312" w:hAnsi="黑体" w:eastAsia="仿宋_GB2312"/>
          <w:sz w:val="32"/>
          <w:szCs w:val="32"/>
          <w:lang w:eastAsia="zh-CN"/>
        </w:rPr>
        <w:t>采购方</w:t>
      </w:r>
      <w:r>
        <w:rPr>
          <w:rFonts w:ascii="仿宋_GB2312" w:hAnsi="黑体" w:eastAsia="仿宋_GB2312"/>
          <w:sz w:val="32"/>
          <w:szCs w:val="32"/>
        </w:rPr>
        <w:t>以经确认的监理方案、合同、采购文件、</w:t>
      </w:r>
      <w:r>
        <w:rPr>
          <w:rFonts w:hint="eastAsia" w:ascii="仿宋_GB2312" w:hAnsi="黑体" w:eastAsia="仿宋_GB2312"/>
          <w:sz w:val="32"/>
          <w:szCs w:val="32"/>
          <w:lang w:eastAsia="zh-CN"/>
        </w:rPr>
        <w:t>采购方</w:t>
      </w:r>
      <w:r>
        <w:rPr>
          <w:rFonts w:ascii="仿宋_GB2312" w:hAnsi="黑体" w:eastAsia="仿宋_GB2312"/>
          <w:sz w:val="32"/>
          <w:szCs w:val="32"/>
        </w:rPr>
        <w:t>需求以及按照国家及行业相关标准作为验收标准，达到本建设工程的质量标准。</w:t>
      </w:r>
    </w:p>
    <w:p>
      <w:pPr>
        <w:spacing w:line="579" w:lineRule="exact"/>
        <w:ind w:firstLine="640" w:firstLineChars="200"/>
        <w:rPr>
          <w:rFonts w:ascii="仿宋_GB2312" w:hAnsi="黑体" w:eastAsia="仿宋_GB2312"/>
          <w:sz w:val="32"/>
          <w:szCs w:val="32"/>
        </w:rPr>
      </w:pPr>
      <w:r>
        <w:rPr>
          <w:rFonts w:hint="eastAsia" w:ascii="仿宋_GB2312" w:hAnsi="黑体" w:eastAsia="仿宋_GB2312" w:cs="Times New Roman"/>
          <w:kern w:val="2"/>
          <w:sz w:val="32"/>
          <w:szCs w:val="32"/>
          <w:lang w:val="en-US" w:eastAsia="zh-CN" w:bidi="ar-SA"/>
        </w:rPr>
        <w:t>供应商提交全套资料，包含监理规划、监理实施细则、质量评估报告、分部分项验收记录、关键文档审查意见、项目变更单（若有变更）、交付物变更记录（若有变更）、文档移交清单、试运行方案评审意见、试运行跟踪表、试运行报告确认单、验收专家评审意见确认单、项目验收报告。</w:t>
      </w:r>
    </w:p>
    <w:p>
      <w:pPr>
        <w:spacing w:line="579" w:lineRule="exact"/>
        <w:ind w:firstLine="640" w:firstLineChars="200"/>
        <w:rPr>
          <w:rFonts w:ascii="仿宋_GB2312" w:hAnsi="黑体" w:eastAsia="仿宋_GB2312"/>
          <w:sz w:val="32"/>
          <w:szCs w:val="32"/>
        </w:rPr>
      </w:pPr>
      <w:r>
        <w:rPr>
          <w:rFonts w:ascii="仿宋_GB2312" w:hAnsi="黑体" w:eastAsia="仿宋_GB2312"/>
          <w:sz w:val="32"/>
          <w:szCs w:val="32"/>
        </w:rPr>
        <w:t>验收方法：按照国家相关规定和</w:t>
      </w:r>
      <w:r>
        <w:rPr>
          <w:rFonts w:hint="eastAsia" w:ascii="仿宋_GB2312" w:hAnsi="黑体" w:eastAsia="仿宋_GB2312"/>
          <w:sz w:val="32"/>
          <w:szCs w:val="32"/>
          <w:lang w:eastAsia="zh-CN"/>
        </w:rPr>
        <w:t>采购方</w:t>
      </w:r>
      <w:r>
        <w:rPr>
          <w:rFonts w:ascii="仿宋_GB2312" w:hAnsi="黑体" w:eastAsia="仿宋_GB2312"/>
          <w:sz w:val="32"/>
          <w:szCs w:val="32"/>
        </w:rPr>
        <w:t>的要求及规定，协助</w:t>
      </w:r>
      <w:r>
        <w:rPr>
          <w:rFonts w:hint="eastAsia" w:ascii="仿宋_GB2312" w:hAnsi="黑体" w:eastAsia="仿宋_GB2312"/>
          <w:sz w:val="32"/>
          <w:szCs w:val="32"/>
          <w:lang w:eastAsia="zh-CN"/>
        </w:rPr>
        <w:t>采购方</w:t>
      </w:r>
      <w:r>
        <w:rPr>
          <w:rFonts w:ascii="仿宋_GB2312" w:hAnsi="黑体" w:eastAsia="仿宋_GB2312"/>
          <w:sz w:val="32"/>
          <w:szCs w:val="32"/>
        </w:rPr>
        <w:t>组织和协调项目的验收工作</w:t>
      </w:r>
      <w:r>
        <w:rPr>
          <w:rFonts w:hint="eastAsia" w:ascii="仿宋_GB2312" w:hAnsi="黑体" w:eastAsia="仿宋_GB2312"/>
          <w:sz w:val="32"/>
          <w:szCs w:val="32"/>
        </w:rPr>
        <w:t>。</w:t>
      </w:r>
    </w:p>
    <w:p>
      <w:pPr>
        <w:rPr>
          <w:rFonts w:ascii="仿宋_GB2312" w:hAnsi="黑体" w:eastAsia="仿宋_GB2312"/>
          <w:sz w:val="32"/>
          <w:szCs w:val="32"/>
        </w:rPr>
      </w:pPr>
      <w:r>
        <w:rPr>
          <w:rFonts w:hint="eastAsia" w:ascii="仿宋_GB2312" w:hAnsi="黑体" w:eastAsia="仿宋_GB2312"/>
          <w:sz w:val="32"/>
          <w:szCs w:val="32"/>
        </w:rPr>
        <w:br w:type="page"/>
      </w:r>
    </w:p>
    <w:p>
      <w:pPr>
        <w:wordWrap w:val="0"/>
        <w:spacing w:line="579" w:lineRule="exact"/>
        <w:rPr>
          <w:rFonts w:eastAsia="黑体"/>
          <w:kern w:val="0"/>
          <w:sz w:val="32"/>
          <w:szCs w:val="32"/>
        </w:rPr>
      </w:pPr>
      <w:r>
        <w:rPr>
          <w:rFonts w:eastAsia="黑体"/>
          <w:kern w:val="0"/>
          <w:sz w:val="32"/>
          <w:szCs w:val="32"/>
        </w:rPr>
        <w:t>附件3</w:t>
      </w:r>
    </w:p>
    <w:p>
      <w:pPr>
        <w:wordWrap w:val="0"/>
        <w:spacing w:line="579" w:lineRule="exact"/>
        <w:jc w:val="center"/>
        <w:rPr>
          <w:rFonts w:eastAsia="黑体"/>
          <w:kern w:val="0"/>
          <w:sz w:val="32"/>
          <w:szCs w:val="32"/>
        </w:rPr>
      </w:pPr>
      <w:r>
        <w:rPr>
          <w:rFonts w:eastAsia="黑体"/>
          <w:kern w:val="0"/>
          <w:sz w:val="32"/>
          <w:szCs w:val="32"/>
        </w:rPr>
        <w:t>经济要求</w:t>
      </w:r>
    </w:p>
    <w:p>
      <w:pPr>
        <w:pStyle w:val="4"/>
      </w:pPr>
    </w:p>
    <w:p>
      <w:pPr>
        <w:keepNext/>
        <w:ind w:firstLine="640" w:firstLineChars="200"/>
        <w:outlineLvl w:val="1"/>
        <w:rPr>
          <w:rFonts w:ascii="黑体" w:hAnsi="黑体" w:eastAsia="黑体"/>
          <w:sz w:val="32"/>
          <w:szCs w:val="32"/>
        </w:rPr>
      </w:pPr>
      <w:r>
        <w:rPr>
          <w:rFonts w:hint="eastAsia" w:ascii="黑体" w:hAnsi="黑体" w:eastAsia="黑体"/>
          <w:sz w:val="32"/>
          <w:szCs w:val="32"/>
        </w:rPr>
        <w:t>一、预算安排</w:t>
      </w:r>
    </w:p>
    <w:p>
      <w:pPr>
        <w:spacing w:line="400" w:lineRule="exact"/>
        <w:ind w:right="40" w:firstLine="420" w:firstLineChars="150"/>
        <w:jc w:val="center"/>
        <w:rPr>
          <w:rFonts w:hint="eastAsia" w:ascii="黑体" w:hAnsi="黑体" w:eastAsia="黑体" w:cs="黑体"/>
          <w:sz w:val="28"/>
          <w:szCs w:val="28"/>
        </w:rPr>
      </w:pPr>
      <w:r>
        <w:rPr>
          <w:rFonts w:hint="eastAsia" w:ascii="黑体" w:hAnsi="黑体" w:eastAsia="黑体" w:cs="黑体"/>
          <w:sz w:val="28"/>
          <w:szCs w:val="28"/>
        </w:rPr>
        <w:t xml:space="preserve">表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SEQ 表 \* ARABIC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t xml:space="preserve"> 采购清单</w:t>
      </w:r>
    </w:p>
    <w:p>
      <w:pPr>
        <w:spacing w:line="400" w:lineRule="exact"/>
        <w:ind w:right="40" w:firstLine="330" w:firstLineChars="150"/>
        <w:jc w:val="right"/>
      </w:pPr>
      <w:r>
        <w:rPr>
          <w:rFonts w:hint="eastAsia" w:ascii="楷体_GB2312" w:hAnsi="黑体" w:eastAsia="楷体_GB2312"/>
          <w:bCs/>
          <w:spacing w:val="-10"/>
          <w:kern w:val="10"/>
          <w:sz w:val="24"/>
          <w:szCs w:val="28"/>
        </w:rPr>
        <w:t>金额单位：万元</w:t>
      </w:r>
    </w:p>
    <w:tbl>
      <w:tblPr>
        <w:tblStyle w:val="8"/>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004"/>
        <w:gridCol w:w="2004"/>
        <w:gridCol w:w="924"/>
        <w:gridCol w:w="1083"/>
        <w:gridCol w:w="1153"/>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84"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1145"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项目名称</w:t>
            </w:r>
          </w:p>
        </w:tc>
        <w:tc>
          <w:tcPr>
            <w:tcW w:w="1145"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名称</w:t>
            </w:r>
          </w:p>
        </w:tc>
        <w:tc>
          <w:tcPr>
            <w:tcW w:w="528"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计量单位</w:t>
            </w:r>
          </w:p>
        </w:tc>
        <w:tc>
          <w:tcPr>
            <w:tcW w:w="619"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采购数量</w:t>
            </w:r>
          </w:p>
        </w:tc>
        <w:tc>
          <w:tcPr>
            <w:tcW w:w="659"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最高</w:t>
            </w:r>
          </w:p>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限价</w:t>
            </w:r>
          </w:p>
        </w:tc>
        <w:tc>
          <w:tcPr>
            <w:tcW w:w="516" w:type="pct"/>
            <w:vAlign w:val="center"/>
          </w:tcPr>
          <w:p>
            <w:pPr>
              <w:spacing w:before="120" w:after="120" w:line="300" w:lineRule="auto"/>
              <w:jc w:val="center"/>
              <w:textAlignment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产品类别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84" w:type="pct"/>
            <w:vAlign w:val="center"/>
          </w:tcPr>
          <w:p>
            <w:pPr>
              <w:pStyle w:val="12"/>
              <w:spacing w:line="300" w:lineRule="auto"/>
              <w:rPr>
                <w:rFonts w:ascii="仿宋_GB2312" w:hAnsi="黑体" w:eastAsia="仿宋_GB2312"/>
                <w:sz w:val="28"/>
                <w:szCs w:val="28"/>
              </w:rPr>
            </w:pPr>
            <w:r>
              <w:rPr>
                <w:rFonts w:hint="eastAsia" w:ascii="仿宋_GB2312" w:hAnsi="黑体" w:eastAsia="仿宋_GB2312"/>
                <w:sz w:val="28"/>
                <w:szCs w:val="28"/>
              </w:rPr>
              <w:t>1</w:t>
            </w:r>
          </w:p>
        </w:tc>
        <w:tc>
          <w:tcPr>
            <w:tcW w:w="1145" w:type="pct"/>
            <w:vAlign w:val="center"/>
          </w:tcPr>
          <w:p>
            <w:pPr>
              <w:pStyle w:val="12"/>
              <w:spacing w:line="300" w:lineRule="auto"/>
              <w:rPr>
                <w:rFonts w:ascii="仿宋_GB2312" w:hAnsi="黑体" w:eastAsia="仿宋_GB2312"/>
                <w:sz w:val="28"/>
                <w:szCs w:val="28"/>
              </w:rPr>
            </w:pPr>
            <w:r>
              <w:rPr>
                <w:rFonts w:hint="eastAsia" w:ascii="宋体" w:hAnsi="宋体" w:cs="宋体"/>
                <w:sz w:val="24"/>
              </w:rPr>
              <w:t>国产化建设项目监理</w:t>
            </w:r>
          </w:p>
        </w:tc>
        <w:tc>
          <w:tcPr>
            <w:tcW w:w="1145" w:type="pct"/>
            <w:vAlign w:val="center"/>
          </w:tcPr>
          <w:p>
            <w:pPr>
              <w:pStyle w:val="12"/>
              <w:spacing w:line="300" w:lineRule="auto"/>
              <w:rPr>
                <w:rFonts w:ascii="宋体" w:hAnsi="宋体" w:cs="宋体"/>
                <w:sz w:val="24"/>
              </w:rPr>
            </w:pPr>
            <w:r>
              <w:rPr>
                <w:rFonts w:hint="eastAsia" w:ascii="宋体" w:hAnsi="宋体" w:cs="宋体"/>
                <w:sz w:val="24"/>
              </w:rPr>
              <w:t>监理服务</w:t>
            </w:r>
          </w:p>
        </w:tc>
        <w:tc>
          <w:tcPr>
            <w:tcW w:w="528" w:type="pct"/>
            <w:vAlign w:val="center"/>
          </w:tcPr>
          <w:p>
            <w:pPr>
              <w:pStyle w:val="12"/>
              <w:spacing w:line="300" w:lineRule="auto"/>
              <w:rPr>
                <w:rFonts w:ascii="宋体" w:hAnsi="宋体" w:cs="宋体"/>
                <w:sz w:val="24"/>
              </w:rPr>
            </w:pPr>
            <w:r>
              <w:rPr>
                <w:rFonts w:hint="eastAsia" w:ascii="宋体" w:hAnsi="宋体" w:cs="宋体"/>
                <w:sz w:val="24"/>
              </w:rPr>
              <w:t>项</w:t>
            </w:r>
          </w:p>
        </w:tc>
        <w:tc>
          <w:tcPr>
            <w:tcW w:w="619" w:type="pct"/>
            <w:vAlign w:val="center"/>
          </w:tcPr>
          <w:p>
            <w:pPr>
              <w:pStyle w:val="12"/>
              <w:spacing w:line="300" w:lineRule="auto"/>
              <w:rPr>
                <w:rFonts w:ascii="宋体" w:hAnsi="宋体" w:cs="宋体"/>
                <w:sz w:val="24"/>
              </w:rPr>
            </w:pPr>
            <w:r>
              <w:rPr>
                <w:rFonts w:hint="eastAsia" w:ascii="宋体" w:hAnsi="宋体" w:cs="宋体"/>
                <w:sz w:val="24"/>
              </w:rPr>
              <w:t>1</w:t>
            </w:r>
          </w:p>
        </w:tc>
        <w:tc>
          <w:tcPr>
            <w:tcW w:w="659" w:type="pct"/>
            <w:vAlign w:val="center"/>
          </w:tcPr>
          <w:p>
            <w:pPr>
              <w:pStyle w:val="12"/>
              <w:spacing w:line="300" w:lineRule="auto"/>
              <w:rPr>
                <w:rFonts w:ascii="宋体" w:hAnsi="宋体" w:cs="宋体"/>
                <w:sz w:val="24"/>
              </w:rPr>
            </w:pPr>
            <w:r>
              <w:rPr>
                <w:rFonts w:hint="eastAsia" w:ascii="宋体" w:hAnsi="宋体" w:cs="宋体"/>
                <w:sz w:val="24"/>
              </w:rPr>
              <w:t>48万元</w:t>
            </w:r>
          </w:p>
        </w:tc>
        <w:tc>
          <w:tcPr>
            <w:tcW w:w="516" w:type="pct"/>
            <w:vAlign w:val="center"/>
          </w:tcPr>
          <w:p>
            <w:pPr>
              <w:pStyle w:val="12"/>
              <w:spacing w:line="300" w:lineRule="auto"/>
              <w:rPr>
                <w:rFonts w:ascii="宋体" w:hAnsi="宋体" w:cs="宋体"/>
                <w:sz w:val="24"/>
              </w:rPr>
            </w:pPr>
            <w:r>
              <w:rPr>
                <w:rFonts w:hint="eastAsia" w:ascii="宋体" w:hAnsi="宋体" w:cs="宋体"/>
                <w:sz w:val="24"/>
              </w:rPr>
              <w:t>服务</w:t>
            </w:r>
          </w:p>
        </w:tc>
      </w:tr>
    </w:tbl>
    <w:tbl>
      <w:tblPr>
        <w:tblStyle w:val="9"/>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vAlign w:val="center"/>
          </w:tcPr>
          <w:p>
            <w:pPr>
              <w:spacing w:line="300" w:lineRule="auto"/>
              <w:jc w:val="center"/>
              <w:rPr>
                <w:rFonts w:ascii="仿宋_GB2312" w:hAnsi="黑体" w:eastAsia="仿宋_GB2312"/>
                <w:sz w:val="28"/>
                <w:szCs w:val="28"/>
              </w:rPr>
            </w:pPr>
          </w:p>
        </w:tc>
      </w:tr>
    </w:tbl>
    <w:p>
      <w:pPr>
        <w:keepNext/>
        <w:ind w:firstLine="640" w:firstLineChars="200"/>
        <w:outlineLvl w:val="1"/>
        <w:rPr>
          <w:rFonts w:ascii="黑体" w:hAnsi="黑体" w:eastAsia="黑体"/>
          <w:sz w:val="32"/>
          <w:szCs w:val="32"/>
        </w:rPr>
      </w:pPr>
      <w:r>
        <w:rPr>
          <w:rFonts w:hint="eastAsia" w:ascii="黑体" w:hAnsi="黑体" w:eastAsia="黑体"/>
          <w:sz w:val="32"/>
          <w:szCs w:val="32"/>
        </w:rPr>
        <w:t>二、交付成果形式、交付或实施时间及地点要求</w:t>
      </w:r>
    </w:p>
    <w:p>
      <w:pPr>
        <w:keepNext/>
        <w:spacing w:line="592"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（一）成果形式</w:t>
      </w:r>
    </w:p>
    <w:p>
      <w:pPr>
        <w:pStyle w:val="3"/>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t>2</w:t>
      </w:r>
      <w:r>
        <w:rPr>
          <w:rFonts w:hint="eastAsia"/>
        </w:rPr>
        <w:fldChar w:fldCharType="end"/>
      </w:r>
      <w:r>
        <w:rPr>
          <w:rFonts w:hint="eastAsia"/>
        </w:rPr>
        <w:t xml:space="preserve"> 交付成果</w:t>
      </w:r>
    </w:p>
    <w:tbl>
      <w:tblPr>
        <w:tblStyle w:val="9"/>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981"/>
        <w:gridCol w:w="1645"/>
        <w:gridCol w:w="1380"/>
        <w:gridCol w:w="1404"/>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Pr>
          <w:p>
            <w:pPr>
              <w:spacing w:line="300" w:lineRule="auto"/>
              <w:jc w:val="center"/>
              <w:rPr>
                <w:rFonts w:ascii="黑体" w:hAnsi="黑体" w:eastAsia="黑体"/>
                <w:sz w:val="28"/>
                <w:szCs w:val="28"/>
              </w:rPr>
            </w:pPr>
            <w:r>
              <w:rPr>
                <w:rFonts w:hint="eastAsia" w:ascii="黑体" w:hAnsi="黑体" w:eastAsia="黑体"/>
                <w:sz w:val="28"/>
                <w:szCs w:val="28"/>
              </w:rPr>
              <w:t>序号</w:t>
            </w:r>
          </w:p>
        </w:tc>
        <w:tc>
          <w:tcPr>
            <w:tcW w:w="2981" w:type="dxa"/>
          </w:tcPr>
          <w:p>
            <w:pPr>
              <w:spacing w:line="300" w:lineRule="auto"/>
              <w:jc w:val="center"/>
              <w:rPr>
                <w:rFonts w:ascii="黑体" w:hAnsi="黑体" w:eastAsia="黑体"/>
                <w:sz w:val="28"/>
                <w:szCs w:val="28"/>
              </w:rPr>
            </w:pPr>
            <w:r>
              <w:rPr>
                <w:rFonts w:hint="eastAsia" w:ascii="黑体" w:hAnsi="黑体" w:eastAsia="黑体"/>
                <w:sz w:val="28"/>
                <w:szCs w:val="28"/>
              </w:rPr>
              <w:t>成果名称</w:t>
            </w:r>
          </w:p>
        </w:tc>
        <w:tc>
          <w:tcPr>
            <w:tcW w:w="1645" w:type="dxa"/>
          </w:tcPr>
          <w:p>
            <w:pPr>
              <w:spacing w:line="300" w:lineRule="auto"/>
              <w:jc w:val="center"/>
              <w:rPr>
                <w:rFonts w:ascii="黑体" w:hAnsi="黑体" w:eastAsia="黑体"/>
                <w:sz w:val="28"/>
                <w:szCs w:val="28"/>
              </w:rPr>
            </w:pPr>
            <w:r>
              <w:rPr>
                <w:rFonts w:hint="eastAsia" w:ascii="黑体" w:hAnsi="黑体" w:eastAsia="黑体"/>
                <w:sz w:val="28"/>
                <w:szCs w:val="28"/>
              </w:rPr>
              <w:t>形态</w:t>
            </w:r>
          </w:p>
        </w:tc>
        <w:tc>
          <w:tcPr>
            <w:tcW w:w="1380" w:type="dxa"/>
          </w:tcPr>
          <w:p>
            <w:pPr>
              <w:spacing w:line="300" w:lineRule="auto"/>
              <w:jc w:val="center"/>
              <w:rPr>
                <w:rFonts w:ascii="黑体" w:hAnsi="黑体" w:eastAsia="黑体"/>
                <w:sz w:val="28"/>
                <w:szCs w:val="28"/>
              </w:rPr>
            </w:pPr>
            <w:r>
              <w:rPr>
                <w:rFonts w:hint="eastAsia" w:ascii="黑体" w:hAnsi="黑体" w:eastAsia="黑体"/>
                <w:sz w:val="28"/>
                <w:szCs w:val="28"/>
              </w:rPr>
              <w:t>数量</w:t>
            </w:r>
          </w:p>
        </w:tc>
        <w:tc>
          <w:tcPr>
            <w:tcW w:w="1404" w:type="dxa"/>
          </w:tcPr>
          <w:p>
            <w:pPr>
              <w:spacing w:line="300" w:lineRule="auto"/>
              <w:jc w:val="center"/>
              <w:rPr>
                <w:rFonts w:ascii="黑体" w:hAnsi="黑体" w:eastAsia="黑体"/>
                <w:sz w:val="28"/>
                <w:szCs w:val="28"/>
              </w:rPr>
            </w:pPr>
            <w:r>
              <w:rPr>
                <w:rFonts w:hint="eastAsia" w:ascii="黑体" w:hAnsi="黑体" w:eastAsia="黑体"/>
                <w:sz w:val="28"/>
                <w:szCs w:val="28"/>
              </w:rPr>
              <w:t>单位</w:t>
            </w:r>
          </w:p>
        </w:tc>
        <w:tc>
          <w:tcPr>
            <w:tcW w:w="859" w:type="dxa"/>
            <w:vAlign w:val="center"/>
          </w:tcPr>
          <w:p>
            <w:pPr>
              <w:spacing w:line="300" w:lineRule="auto"/>
              <w:jc w:val="center"/>
              <w:rPr>
                <w:rFonts w:ascii="黑体" w:hAnsi="黑体" w:eastAsia="黑体"/>
                <w:sz w:val="28"/>
                <w:szCs w:val="28"/>
              </w:rPr>
            </w:pPr>
            <w:r>
              <w:rPr>
                <w:rFonts w:hint="eastAsia" w:ascii="黑体" w:hAnsi="黑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1</w:t>
            </w:r>
          </w:p>
        </w:tc>
        <w:tc>
          <w:tcPr>
            <w:tcW w:w="2981" w:type="dxa"/>
            <w:vAlign w:val="center"/>
          </w:tcPr>
          <w:p>
            <w:pPr>
              <w:spacing w:line="300" w:lineRule="auto"/>
              <w:jc w:val="center"/>
              <w:rPr>
                <w:rFonts w:ascii="宋体" w:hAnsi="宋体" w:cs="宋体"/>
                <w:sz w:val="24"/>
              </w:rPr>
            </w:pPr>
            <w:r>
              <w:rPr>
                <w:rFonts w:hint="eastAsia" w:ascii="宋体" w:hAnsi="宋体" w:cs="宋体"/>
                <w:sz w:val="24"/>
              </w:rPr>
              <w:t>监理规划</w:t>
            </w:r>
          </w:p>
        </w:tc>
        <w:tc>
          <w:tcPr>
            <w:tcW w:w="1645" w:type="dxa"/>
            <w:vAlign w:val="center"/>
          </w:tcPr>
          <w:p>
            <w:pPr>
              <w:spacing w:line="300" w:lineRule="auto"/>
              <w:jc w:val="center"/>
              <w:rPr>
                <w:rFonts w:ascii="宋体" w:hAnsi="宋体" w:cs="宋体"/>
                <w:sz w:val="24"/>
              </w:rPr>
            </w:pPr>
            <w:r>
              <w:rPr>
                <w:rFonts w:hint="eastAsia" w:ascii="宋体" w:hAnsi="宋体" w:cs="宋体"/>
                <w:sz w:val="24"/>
              </w:rPr>
              <w:t>资料装订成册</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Merge w:val="restart"/>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2</w:t>
            </w:r>
          </w:p>
        </w:tc>
        <w:tc>
          <w:tcPr>
            <w:tcW w:w="2981" w:type="dxa"/>
            <w:vAlign w:val="center"/>
          </w:tcPr>
          <w:p>
            <w:pPr>
              <w:spacing w:line="300" w:lineRule="auto"/>
              <w:jc w:val="center"/>
              <w:rPr>
                <w:rFonts w:ascii="宋体" w:hAnsi="宋体" w:cs="宋体"/>
                <w:sz w:val="24"/>
              </w:rPr>
            </w:pPr>
            <w:r>
              <w:rPr>
                <w:rFonts w:hint="eastAsia" w:ascii="宋体" w:hAnsi="宋体" w:cs="宋体"/>
                <w:sz w:val="24"/>
              </w:rPr>
              <w:t>监理实施细则</w:t>
            </w:r>
          </w:p>
        </w:tc>
        <w:tc>
          <w:tcPr>
            <w:tcW w:w="1645" w:type="dxa"/>
            <w:vAlign w:val="center"/>
          </w:tcPr>
          <w:p>
            <w:pPr>
              <w:spacing w:line="300" w:lineRule="auto"/>
              <w:jc w:val="center"/>
              <w:rPr>
                <w:rFonts w:ascii="宋体" w:hAnsi="宋体" w:cs="宋体"/>
                <w:sz w:val="24"/>
              </w:rPr>
            </w:pPr>
            <w:r>
              <w:rPr>
                <w:rFonts w:hint="eastAsia" w:ascii="宋体" w:hAnsi="宋体" w:cs="宋体"/>
                <w:sz w:val="24"/>
              </w:rPr>
              <w:t>资料装订成册</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Merge w:val="continue"/>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3</w:t>
            </w:r>
          </w:p>
        </w:tc>
        <w:tc>
          <w:tcPr>
            <w:tcW w:w="2981" w:type="dxa"/>
            <w:vAlign w:val="center"/>
          </w:tcPr>
          <w:p>
            <w:pPr>
              <w:spacing w:line="300" w:lineRule="auto"/>
              <w:jc w:val="center"/>
              <w:rPr>
                <w:rFonts w:ascii="宋体" w:hAnsi="宋体" w:cs="宋体"/>
                <w:sz w:val="24"/>
              </w:rPr>
            </w:pPr>
            <w:r>
              <w:rPr>
                <w:rFonts w:hint="eastAsia" w:ascii="宋体" w:hAnsi="宋体" w:cs="宋体"/>
                <w:sz w:val="24"/>
              </w:rPr>
              <w:t>质量评估报告</w:t>
            </w:r>
          </w:p>
        </w:tc>
        <w:tc>
          <w:tcPr>
            <w:tcW w:w="1645" w:type="dxa"/>
            <w:vAlign w:val="center"/>
          </w:tcPr>
          <w:p>
            <w:pPr>
              <w:spacing w:line="300" w:lineRule="auto"/>
              <w:jc w:val="center"/>
              <w:rPr>
                <w:rFonts w:ascii="宋体" w:hAnsi="宋体" w:cs="宋体"/>
                <w:sz w:val="24"/>
              </w:rPr>
            </w:pPr>
            <w:r>
              <w:rPr>
                <w:rFonts w:hint="eastAsia" w:ascii="宋体" w:hAnsi="宋体" w:cs="宋体"/>
                <w:sz w:val="24"/>
              </w:rPr>
              <w:t>资料装订成册</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Merge w:val="continue"/>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4</w:t>
            </w:r>
          </w:p>
        </w:tc>
        <w:tc>
          <w:tcPr>
            <w:tcW w:w="2981" w:type="dxa"/>
            <w:vAlign w:val="center"/>
          </w:tcPr>
          <w:p>
            <w:pPr>
              <w:spacing w:line="300" w:lineRule="auto"/>
              <w:jc w:val="center"/>
              <w:rPr>
                <w:rFonts w:ascii="宋体" w:hAnsi="宋体" w:cs="宋体"/>
                <w:sz w:val="24"/>
              </w:rPr>
            </w:pPr>
            <w:r>
              <w:rPr>
                <w:rFonts w:hint="eastAsia" w:ascii="宋体" w:hAnsi="宋体" w:cs="宋体"/>
                <w:sz w:val="24"/>
              </w:rPr>
              <w:t>分部分项验收记录</w:t>
            </w:r>
          </w:p>
        </w:tc>
        <w:tc>
          <w:tcPr>
            <w:tcW w:w="1645" w:type="dxa"/>
            <w:vAlign w:val="center"/>
          </w:tcPr>
          <w:p>
            <w:pPr>
              <w:spacing w:line="300" w:lineRule="auto"/>
              <w:jc w:val="center"/>
              <w:rPr>
                <w:rFonts w:ascii="宋体" w:hAnsi="宋体" w:cs="宋体"/>
                <w:sz w:val="24"/>
              </w:rPr>
            </w:pPr>
            <w:r>
              <w:rPr>
                <w:rFonts w:hint="eastAsia" w:ascii="宋体" w:hAnsi="宋体" w:cs="宋体"/>
                <w:sz w:val="24"/>
              </w:rPr>
              <w:t>资料装订成册</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Merge w:val="continue"/>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5</w:t>
            </w:r>
          </w:p>
        </w:tc>
        <w:tc>
          <w:tcPr>
            <w:tcW w:w="2981" w:type="dxa"/>
            <w:vAlign w:val="center"/>
          </w:tcPr>
          <w:p>
            <w:pPr>
              <w:spacing w:line="300" w:lineRule="auto"/>
              <w:jc w:val="center"/>
              <w:rPr>
                <w:rFonts w:ascii="宋体" w:hAnsi="宋体" w:cs="宋体"/>
                <w:sz w:val="24"/>
              </w:rPr>
            </w:pPr>
            <w:r>
              <w:rPr>
                <w:rFonts w:hint="eastAsia" w:ascii="宋体" w:hAnsi="宋体" w:cs="宋体"/>
                <w:sz w:val="24"/>
              </w:rPr>
              <w:t>关键文档审查意见</w:t>
            </w:r>
          </w:p>
        </w:tc>
        <w:tc>
          <w:tcPr>
            <w:tcW w:w="1645" w:type="dxa"/>
            <w:vAlign w:val="center"/>
          </w:tcPr>
          <w:p>
            <w:pPr>
              <w:spacing w:line="300" w:lineRule="auto"/>
              <w:jc w:val="center"/>
              <w:rPr>
                <w:rFonts w:hint="eastAsia" w:ascii="宋体" w:hAnsi="宋体" w:eastAsia="宋体" w:cs="宋体"/>
                <w:sz w:val="24"/>
                <w:lang w:val="en-US" w:eastAsia="zh-CN"/>
              </w:rPr>
            </w:pPr>
            <w:r>
              <w:rPr>
                <w:rFonts w:hint="eastAsia" w:ascii="宋体" w:hAnsi="宋体" w:cs="宋体"/>
                <w:sz w:val="24"/>
              </w:rPr>
              <w:t>文档</w:t>
            </w:r>
            <w:r>
              <w:rPr>
                <w:rFonts w:hint="eastAsia" w:ascii="宋体" w:hAnsi="宋体" w:cs="宋体"/>
                <w:sz w:val="24"/>
                <w:lang w:val="en-US" w:eastAsia="zh-CN"/>
              </w:rPr>
              <w:t>资料</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6</w:t>
            </w:r>
          </w:p>
        </w:tc>
        <w:tc>
          <w:tcPr>
            <w:tcW w:w="2981" w:type="dxa"/>
            <w:vAlign w:val="center"/>
          </w:tcPr>
          <w:p>
            <w:pPr>
              <w:spacing w:line="300" w:lineRule="auto"/>
              <w:jc w:val="center"/>
              <w:rPr>
                <w:rFonts w:ascii="宋体" w:hAnsi="宋体" w:cs="宋体"/>
                <w:sz w:val="24"/>
              </w:rPr>
            </w:pPr>
            <w:r>
              <w:rPr>
                <w:rFonts w:hint="eastAsia" w:ascii="宋体" w:hAnsi="宋体" w:cs="宋体"/>
                <w:sz w:val="24"/>
              </w:rPr>
              <w:t>项目变更单（若有变更）</w:t>
            </w:r>
          </w:p>
        </w:tc>
        <w:tc>
          <w:tcPr>
            <w:tcW w:w="1645" w:type="dxa"/>
            <w:vAlign w:val="center"/>
          </w:tcPr>
          <w:p>
            <w:pPr>
              <w:spacing w:line="300" w:lineRule="auto"/>
              <w:jc w:val="center"/>
              <w:rPr>
                <w:rFonts w:hint="eastAsia" w:ascii="宋体" w:hAnsi="宋体" w:eastAsia="宋体" w:cs="宋体"/>
                <w:sz w:val="24"/>
                <w:lang w:val="en-US" w:eastAsia="zh-CN"/>
              </w:rPr>
            </w:pPr>
            <w:r>
              <w:rPr>
                <w:rFonts w:hint="eastAsia" w:ascii="宋体" w:hAnsi="宋体" w:cs="宋体"/>
                <w:sz w:val="24"/>
              </w:rPr>
              <w:t>文档</w:t>
            </w:r>
            <w:r>
              <w:rPr>
                <w:rFonts w:hint="eastAsia" w:ascii="宋体" w:hAnsi="宋体" w:cs="宋体"/>
                <w:sz w:val="24"/>
                <w:lang w:val="en-US" w:eastAsia="zh-CN"/>
              </w:rPr>
              <w:t>资料</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7</w:t>
            </w:r>
          </w:p>
        </w:tc>
        <w:tc>
          <w:tcPr>
            <w:tcW w:w="2981" w:type="dxa"/>
            <w:vAlign w:val="center"/>
          </w:tcPr>
          <w:p>
            <w:pPr>
              <w:spacing w:line="300" w:lineRule="auto"/>
              <w:jc w:val="center"/>
              <w:rPr>
                <w:rFonts w:ascii="宋体" w:hAnsi="宋体" w:cs="宋体"/>
                <w:sz w:val="24"/>
              </w:rPr>
            </w:pPr>
            <w:r>
              <w:rPr>
                <w:rFonts w:hint="eastAsia" w:ascii="宋体" w:hAnsi="宋体" w:cs="宋体"/>
                <w:sz w:val="24"/>
              </w:rPr>
              <w:t>交付物变更记录（若有变更）</w:t>
            </w:r>
          </w:p>
        </w:tc>
        <w:tc>
          <w:tcPr>
            <w:tcW w:w="1645" w:type="dxa"/>
            <w:vAlign w:val="center"/>
          </w:tcPr>
          <w:p>
            <w:pPr>
              <w:spacing w:line="300" w:lineRule="auto"/>
              <w:jc w:val="center"/>
              <w:rPr>
                <w:rFonts w:hint="eastAsia" w:ascii="宋体" w:hAnsi="宋体" w:eastAsia="宋体" w:cs="宋体"/>
                <w:sz w:val="24"/>
                <w:lang w:val="en-US" w:eastAsia="zh-CN"/>
              </w:rPr>
            </w:pPr>
            <w:r>
              <w:rPr>
                <w:rFonts w:hint="eastAsia" w:ascii="宋体" w:hAnsi="宋体" w:cs="宋体"/>
                <w:sz w:val="24"/>
              </w:rPr>
              <w:t>文档</w:t>
            </w:r>
            <w:r>
              <w:rPr>
                <w:rFonts w:hint="eastAsia" w:ascii="宋体" w:hAnsi="宋体" w:cs="宋体"/>
                <w:sz w:val="24"/>
                <w:lang w:val="en-US" w:eastAsia="zh-CN"/>
              </w:rPr>
              <w:t>资料</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8</w:t>
            </w:r>
          </w:p>
        </w:tc>
        <w:tc>
          <w:tcPr>
            <w:tcW w:w="2981" w:type="dxa"/>
            <w:vAlign w:val="center"/>
          </w:tcPr>
          <w:p>
            <w:pPr>
              <w:spacing w:line="300" w:lineRule="auto"/>
              <w:jc w:val="center"/>
              <w:rPr>
                <w:rFonts w:ascii="宋体" w:hAnsi="宋体" w:cs="宋体"/>
                <w:sz w:val="24"/>
              </w:rPr>
            </w:pPr>
            <w:r>
              <w:rPr>
                <w:rFonts w:hint="eastAsia" w:ascii="宋体" w:hAnsi="宋体" w:cs="宋体"/>
                <w:sz w:val="24"/>
              </w:rPr>
              <w:t>文档移交清单</w:t>
            </w:r>
          </w:p>
        </w:tc>
        <w:tc>
          <w:tcPr>
            <w:tcW w:w="1645" w:type="dxa"/>
            <w:vAlign w:val="center"/>
          </w:tcPr>
          <w:p>
            <w:pPr>
              <w:spacing w:line="300" w:lineRule="auto"/>
              <w:jc w:val="center"/>
              <w:rPr>
                <w:rFonts w:hint="eastAsia" w:ascii="宋体" w:hAnsi="宋体" w:eastAsia="宋体" w:cs="宋体"/>
                <w:sz w:val="24"/>
                <w:lang w:val="en-US" w:eastAsia="zh-CN"/>
              </w:rPr>
            </w:pPr>
            <w:r>
              <w:rPr>
                <w:rFonts w:hint="eastAsia" w:ascii="宋体" w:hAnsi="宋体" w:cs="宋体"/>
                <w:sz w:val="24"/>
              </w:rPr>
              <w:t>文档</w:t>
            </w:r>
            <w:r>
              <w:rPr>
                <w:rFonts w:hint="eastAsia" w:ascii="宋体" w:hAnsi="宋体" w:cs="宋体"/>
                <w:sz w:val="24"/>
                <w:lang w:val="en-US" w:eastAsia="zh-CN"/>
              </w:rPr>
              <w:t>资料</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9</w:t>
            </w:r>
          </w:p>
        </w:tc>
        <w:tc>
          <w:tcPr>
            <w:tcW w:w="2981" w:type="dxa"/>
            <w:vAlign w:val="center"/>
          </w:tcPr>
          <w:p>
            <w:pPr>
              <w:spacing w:line="300" w:lineRule="auto"/>
              <w:jc w:val="center"/>
              <w:rPr>
                <w:rFonts w:ascii="宋体" w:hAnsi="宋体" w:cs="宋体"/>
                <w:sz w:val="24"/>
              </w:rPr>
            </w:pPr>
            <w:r>
              <w:rPr>
                <w:rFonts w:hint="eastAsia" w:ascii="宋体" w:hAnsi="宋体" w:cs="宋体"/>
                <w:sz w:val="24"/>
              </w:rPr>
              <w:t>试运行方案评审意见</w:t>
            </w:r>
          </w:p>
        </w:tc>
        <w:tc>
          <w:tcPr>
            <w:tcW w:w="1645" w:type="dxa"/>
            <w:vAlign w:val="center"/>
          </w:tcPr>
          <w:p>
            <w:pPr>
              <w:spacing w:line="300" w:lineRule="auto"/>
              <w:jc w:val="center"/>
              <w:rPr>
                <w:rFonts w:hint="eastAsia" w:ascii="宋体" w:hAnsi="宋体" w:eastAsia="宋体" w:cs="宋体"/>
                <w:sz w:val="24"/>
                <w:lang w:val="en-US" w:eastAsia="zh-CN"/>
              </w:rPr>
            </w:pPr>
            <w:r>
              <w:rPr>
                <w:rFonts w:hint="eastAsia" w:ascii="宋体" w:hAnsi="宋体" w:cs="宋体"/>
                <w:sz w:val="24"/>
              </w:rPr>
              <w:t>文档</w:t>
            </w:r>
            <w:r>
              <w:rPr>
                <w:rFonts w:hint="eastAsia" w:ascii="宋体" w:hAnsi="宋体" w:cs="宋体"/>
                <w:sz w:val="24"/>
                <w:lang w:val="en-US" w:eastAsia="zh-CN"/>
              </w:rPr>
              <w:t>资料</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10</w:t>
            </w:r>
          </w:p>
        </w:tc>
        <w:tc>
          <w:tcPr>
            <w:tcW w:w="2981" w:type="dxa"/>
            <w:vAlign w:val="center"/>
          </w:tcPr>
          <w:p>
            <w:pPr>
              <w:spacing w:line="300" w:lineRule="auto"/>
              <w:jc w:val="center"/>
              <w:rPr>
                <w:rFonts w:ascii="宋体" w:hAnsi="宋体" w:cs="宋体"/>
                <w:sz w:val="24"/>
              </w:rPr>
            </w:pPr>
            <w:r>
              <w:rPr>
                <w:rFonts w:hint="eastAsia" w:ascii="宋体" w:hAnsi="宋体" w:cs="宋体"/>
                <w:sz w:val="24"/>
              </w:rPr>
              <w:t>试运行跟踪表</w:t>
            </w:r>
          </w:p>
        </w:tc>
        <w:tc>
          <w:tcPr>
            <w:tcW w:w="1645" w:type="dxa"/>
            <w:vAlign w:val="center"/>
          </w:tcPr>
          <w:p>
            <w:pPr>
              <w:spacing w:line="300" w:lineRule="auto"/>
              <w:jc w:val="center"/>
              <w:rPr>
                <w:rFonts w:hint="eastAsia" w:ascii="宋体" w:hAnsi="宋体" w:eastAsia="宋体" w:cs="宋体"/>
                <w:sz w:val="24"/>
                <w:lang w:val="en-US" w:eastAsia="zh-CN"/>
              </w:rPr>
            </w:pPr>
            <w:r>
              <w:rPr>
                <w:rFonts w:hint="eastAsia" w:ascii="宋体" w:hAnsi="宋体" w:cs="宋体"/>
                <w:sz w:val="24"/>
              </w:rPr>
              <w:t>文档</w:t>
            </w:r>
            <w:r>
              <w:rPr>
                <w:rFonts w:hint="eastAsia" w:ascii="宋体" w:hAnsi="宋体" w:cs="宋体"/>
                <w:sz w:val="24"/>
                <w:lang w:val="en-US" w:eastAsia="zh-CN"/>
              </w:rPr>
              <w:t>资料</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11</w:t>
            </w:r>
          </w:p>
        </w:tc>
        <w:tc>
          <w:tcPr>
            <w:tcW w:w="2981" w:type="dxa"/>
            <w:vAlign w:val="center"/>
          </w:tcPr>
          <w:p>
            <w:pPr>
              <w:spacing w:line="300" w:lineRule="auto"/>
              <w:jc w:val="center"/>
              <w:rPr>
                <w:rFonts w:ascii="宋体" w:hAnsi="宋体" w:cs="宋体"/>
                <w:sz w:val="24"/>
              </w:rPr>
            </w:pPr>
            <w:r>
              <w:rPr>
                <w:rFonts w:hint="eastAsia" w:ascii="宋体" w:hAnsi="宋体" w:cs="宋体"/>
                <w:sz w:val="24"/>
              </w:rPr>
              <w:t>试运行报告确认单</w:t>
            </w:r>
          </w:p>
        </w:tc>
        <w:tc>
          <w:tcPr>
            <w:tcW w:w="1645" w:type="dxa"/>
            <w:vAlign w:val="center"/>
          </w:tcPr>
          <w:p>
            <w:pPr>
              <w:spacing w:line="300" w:lineRule="auto"/>
              <w:jc w:val="center"/>
              <w:rPr>
                <w:rFonts w:ascii="宋体" w:hAnsi="宋体" w:cs="宋体"/>
                <w:sz w:val="24"/>
              </w:rPr>
            </w:pPr>
            <w:r>
              <w:rPr>
                <w:rFonts w:hint="eastAsia" w:ascii="宋体" w:hAnsi="宋体" w:cs="宋体"/>
                <w:sz w:val="24"/>
              </w:rPr>
              <w:t>报告单</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12</w:t>
            </w:r>
          </w:p>
        </w:tc>
        <w:tc>
          <w:tcPr>
            <w:tcW w:w="2981" w:type="dxa"/>
            <w:vAlign w:val="center"/>
          </w:tcPr>
          <w:p>
            <w:pPr>
              <w:spacing w:line="300" w:lineRule="auto"/>
              <w:jc w:val="center"/>
              <w:rPr>
                <w:rFonts w:ascii="宋体" w:hAnsi="宋体" w:cs="宋体"/>
                <w:sz w:val="24"/>
              </w:rPr>
            </w:pPr>
            <w:r>
              <w:rPr>
                <w:rFonts w:hint="eastAsia" w:ascii="宋体" w:hAnsi="宋体" w:cs="宋体"/>
                <w:sz w:val="24"/>
              </w:rPr>
              <w:t>验收专家评审意见确认单</w:t>
            </w:r>
          </w:p>
        </w:tc>
        <w:tc>
          <w:tcPr>
            <w:tcW w:w="1645" w:type="dxa"/>
            <w:vAlign w:val="center"/>
          </w:tcPr>
          <w:p>
            <w:pPr>
              <w:spacing w:line="300" w:lineRule="auto"/>
              <w:jc w:val="center"/>
              <w:rPr>
                <w:rFonts w:ascii="宋体" w:hAnsi="宋体" w:cs="宋体"/>
                <w:sz w:val="24"/>
              </w:rPr>
            </w:pPr>
            <w:r>
              <w:rPr>
                <w:rFonts w:hint="eastAsia" w:ascii="宋体" w:hAnsi="宋体" w:cs="宋体"/>
                <w:sz w:val="24"/>
              </w:rPr>
              <w:t>报告单</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pPr>
              <w:spacing w:line="300" w:lineRule="auto"/>
              <w:jc w:val="center"/>
              <w:rPr>
                <w:rFonts w:ascii="宋体" w:hAnsi="宋体" w:cs="宋体"/>
                <w:sz w:val="24"/>
              </w:rPr>
            </w:pPr>
            <w:r>
              <w:rPr>
                <w:rFonts w:hint="eastAsia" w:ascii="宋体" w:hAnsi="宋体" w:cs="宋体"/>
                <w:sz w:val="24"/>
              </w:rPr>
              <w:t>13</w:t>
            </w:r>
          </w:p>
        </w:tc>
        <w:tc>
          <w:tcPr>
            <w:tcW w:w="2981" w:type="dxa"/>
            <w:vAlign w:val="center"/>
          </w:tcPr>
          <w:p>
            <w:pPr>
              <w:spacing w:line="300" w:lineRule="auto"/>
              <w:jc w:val="center"/>
              <w:rPr>
                <w:rFonts w:ascii="宋体" w:hAnsi="宋体" w:cs="宋体"/>
                <w:sz w:val="24"/>
              </w:rPr>
            </w:pPr>
            <w:r>
              <w:rPr>
                <w:rFonts w:hint="eastAsia" w:ascii="宋体" w:hAnsi="宋体" w:cs="宋体"/>
                <w:sz w:val="24"/>
              </w:rPr>
              <w:t>项目验收报告</w:t>
            </w:r>
          </w:p>
        </w:tc>
        <w:tc>
          <w:tcPr>
            <w:tcW w:w="1645" w:type="dxa"/>
            <w:vAlign w:val="center"/>
          </w:tcPr>
          <w:p>
            <w:pPr>
              <w:spacing w:line="300" w:lineRule="auto"/>
              <w:jc w:val="center"/>
              <w:rPr>
                <w:rFonts w:ascii="宋体" w:hAnsi="宋体" w:cs="宋体"/>
                <w:sz w:val="24"/>
              </w:rPr>
            </w:pPr>
            <w:r>
              <w:rPr>
                <w:rFonts w:hint="eastAsia" w:ascii="宋体" w:hAnsi="宋体" w:cs="宋体"/>
                <w:sz w:val="24"/>
              </w:rPr>
              <w:t>资料装订成册</w:t>
            </w:r>
          </w:p>
        </w:tc>
        <w:tc>
          <w:tcPr>
            <w:tcW w:w="1380" w:type="dxa"/>
            <w:vAlign w:val="center"/>
          </w:tcPr>
          <w:p>
            <w:pPr>
              <w:spacing w:line="300" w:lineRule="auto"/>
              <w:jc w:val="center"/>
              <w:rPr>
                <w:rFonts w:ascii="宋体" w:hAnsi="宋体" w:cs="宋体"/>
                <w:sz w:val="24"/>
              </w:rPr>
            </w:pPr>
            <w:r>
              <w:rPr>
                <w:rFonts w:hint="eastAsia" w:ascii="宋体" w:hAnsi="宋体" w:cs="宋体"/>
                <w:sz w:val="24"/>
              </w:rPr>
              <w:t>1</w:t>
            </w:r>
          </w:p>
        </w:tc>
        <w:tc>
          <w:tcPr>
            <w:tcW w:w="1404" w:type="dxa"/>
            <w:vAlign w:val="center"/>
          </w:tcPr>
          <w:p>
            <w:pPr>
              <w:spacing w:line="300" w:lineRule="auto"/>
              <w:jc w:val="center"/>
              <w:rPr>
                <w:rFonts w:ascii="宋体" w:hAnsi="宋体" w:cs="宋体"/>
                <w:sz w:val="24"/>
              </w:rPr>
            </w:pPr>
            <w:r>
              <w:rPr>
                <w:rFonts w:hint="eastAsia" w:ascii="宋体" w:hAnsi="宋体" w:cs="宋体"/>
                <w:sz w:val="24"/>
              </w:rPr>
              <w:t>册</w:t>
            </w:r>
          </w:p>
        </w:tc>
        <w:tc>
          <w:tcPr>
            <w:tcW w:w="859" w:type="dxa"/>
            <w:vAlign w:val="center"/>
          </w:tcPr>
          <w:p>
            <w:pPr>
              <w:spacing w:line="300" w:lineRule="auto"/>
              <w:rPr>
                <w:rFonts w:ascii="仿宋_GB2312" w:hAnsi="黑体" w:eastAsia="仿宋_GB2312"/>
                <w:sz w:val="28"/>
                <w:szCs w:val="28"/>
              </w:rPr>
            </w:pPr>
          </w:p>
        </w:tc>
      </w:tr>
    </w:tbl>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（二）交付时间、地点与方式</w:t>
      </w:r>
    </w:p>
    <w:p>
      <w:pPr>
        <w:pStyle w:val="13"/>
        <w:keepLines w:val="0"/>
        <w:pageBreakBefore w:val="0"/>
        <w:widowControl w:val="0"/>
        <w:kinsoku/>
        <w:wordWrap/>
        <w:overflowPunct/>
        <w:topLinePunct w:val="0"/>
        <w:autoSpaceDE/>
        <w:autoSpaceDN/>
        <w:bidi w:val="0"/>
        <w:adjustRightInd/>
        <w:snapToGrid/>
        <w:spacing w:line="579" w:lineRule="exact"/>
        <w:ind w:left="11" w:firstLine="640"/>
        <w:rPr>
          <w:rFonts w:ascii="仿宋_GB2312" w:hAnsi="仿宋_GB2312" w:eastAsia="仿宋_GB2312"/>
          <w:color w:val="000000"/>
          <w:sz w:val="32"/>
          <w:szCs w:val="32"/>
        </w:rPr>
      </w:pPr>
      <w:r>
        <w:rPr>
          <w:rFonts w:hint="eastAsia" w:ascii="仿宋_GB2312" w:hAnsi="仿宋_GB2312" w:eastAsia="仿宋_GB2312"/>
          <w:color w:val="000000"/>
          <w:sz w:val="32"/>
          <w:szCs w:val="32"/>
        </w:rPr>
        <w:t>1．交付时间：</w:t>
      </w:r>
      <w:r>
        <w:rPr>
          <w:rFonts w:hint="eastAsia" w:ascii="仿宋_GB2312" w:hAnsi="黑体" w:eastAsia="仿宋_GB2312"/>
          <w:kern w:val="2"/>
          <w:sz w:val="32"/>
          <w:szCs w:val="32"/>
        </w:rPr>
        <w:t>自合同签订之日起至被监理项目竣工验收完成之日止。</w:t>
      </w:r>
    </w:p>
    <w:p>
      <w:pPr>
        <w:keepLines w:val="0"/>
        <w:pageBreakBefore w:val="0"/>
        <w:widowControl w:val="0"/>
        <w:kinsoku/>
        <w:wordWrap/>
        <w:overflowPunct/>
        <w:topLinePunct w:val="0"/>
        <w:autoSpaceDE/>
        <w:autoSpaceDN/>
        <w:bidi w:val="0"/>
        <w:adjustRightInd/>
        <w:snapToGrid/>
        <w:spacing w:line="579" w:lineRule="exact"/>
        <w:ind w:firstLine="640"/>
        <w:rPr>
          <w:rFonts w:ascii="仿宋_GB2312" w:hAnsi="仿宋_GB2312" w:eastAsia="仿宋_GB2312"/>
          <w:color w:val="000000"/>
          <w:sz w:val="32"/>
          <w:szCs w:val="32"/>
        </w:rPr>
      </w:pPr>
      <w:r>
        <w:rPr>
          <w:rFonts w:hint="eastAsia" w:ascii="仿宋_GB2312" w:hAnsi="仿宋_GB2312" w:eastAsia="仿宋_GB2312"/>
          <w:color w:val="000000"/>
          <w:sz w:val="32"/>
          <w:szCs w:val="32"/>
        </w:rPr>
        <w:t>2．交付地点：</w:t>
      </w:r>
      <w:r>
        <w:rPr>
          <w:rFonts w:hint="eastAsia" w:ascii="仿宋_GB2312" w:hAnsi="黑体" w:eastAsia="仿宋_GB2312"/>
          <w:sz w:val="32"/>
          <w:szCs w:val="32"/>
        </w:rPr>
        <w:t>重庆市沙坪坝区、新疆维吾尔自治区昌吉回族自治州呼图壁县、河北省石家庄市。</w:t>
      </w:r>
    </w:p>
    <w:p>
      <w:pPr>
        <w:keepLines w:val="0"/>
        <w:pageBreakBefore w:val="0"/>
        <w:widowControl w:val="0"/>
        <w:kinsoku/>
        <w:wordWrap/>
        <w:overflowPunct/>
        <w:topLinePunct w:val="0"/>
        <w:autoSpaceDE/>
        <w:autoSpaceDN/>
        <w:bidi w:val="0"/>
        <w:adjustRightInd/>
        <w:snapToGrid/>
        <w:spacing w:line="579" w:lineRule="exact"/>
        <w:ind w:firstLine="640"/>
        <w:rPr>
          <w:rFonts w:ascii="仿宋_GB2312" w:hAnsi="仿宋_GB2312" w:eastAsia="仿宋_GB2312"/>
          <w:color w:val="000000"/>
          <w:sz w:val="32"/>
          <w:szCs w:val="32"/>
        </w:rPr>
      </w:pPr>
      <w:r>
        <w:rPr>
          <w:rFonts w:hint="eastAsia" w:ascii="仿宋_GB2312" w:hAnsi="仿宋_GB2312" w:eastAsia="仿宋_GB2312"/>
          <w:color w:val="000000"/>
          <w:sz w:val="32"/>
          <w:szCs w:val="32"/>
        </w:rPr>
        <w:t>3．交付方式：提供监理服务。</w:t>
      </w:r>
    </w:p>
    <w:p>
      <w:pPr>
        <w:keepNext/>
        <w:keepLines w:val="0"/>
        <w:pageBreakBefore w:val="0"/>
        <w:widowControl w:val="0"/>
        <w:kinsoku/>
        <w:wordWrap/>
        <w:overflowPunct/>
        <w:topLinePunct w:val="0"/>
        <w:autoSpaceDE/>
        <w:autoSpaceDN/>
        <w:bidi w:val="0"/>
        <w:adjustRightInd/>
        <w:snapToGrid/>
        <w:spacing w:line="579" w:lineRule="exact"/>
        <w:ind w:firstLine="640" w:firstLineChars="200"/>
        <w:outlineLvl w:val="1"/>
        <w:rPr>
          <w:rFonts w:ascii="黑体" w:hAnsi="黑体" w:eastAsia="黑体"/>
          <w:sz w:val="32"/>
          <w:szCs w:val="32"/>
        </w:rPr>
      </w:pPr>
      <w:r>
        <w:rPr>
          <w:rFonts w:hint="eastAsia" w:ascii="黑体" w:hAnsi="黑体" w:eastAsia="黑体"/>
          <w:sz w:val="32"/>
          <w:szCs w:val="32"/>
        </w:rPr>
        <w:t>三、付款方式和条件</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（一）付款方式</w:t>
      </w:r>
    </w:p>
    <w:p>
      <w:pPr>
        <w:pStyle w:val="13"/>
        <w:keepLines w:val="0"/>
        <w:pageBreakBefore w:val="0"/>
        <w:widowControl w:val="0"/>
        <w:kinsoku/>
        <w:wordWrap/>
        <w:overflowPunct/>
        <w:topLinePunct w:val="0"/>
        <w:autoSpaceDE/>
        <w:autoSpaceDN/>
        <w:bidi w:val="0"/>
        <w:adjustRightInd/>
        <w:snapToGrid/>
        <w:spacing w:line="579" w:lineRule="exact"/>
        <w:ind w:left="11" w:firstLine="640"/>
        <w:rPr>
          <w:rFonts w:hint="eastAsia" w:ascii="仿宋_GB2312" w:hAnsi="黑体" w:eastAsia="仿宋_GB2312"/>
          <w:sz w:val="32"/>
          <w:szCs w:val="32"/>
          <w:highlight w:val="none"/>
        </w:rPr>
      </w:pPr>
      <w:r>
        <w:rPr>
          <w:rFonts w:hint="eastAsia" w:ascii="仿宋_GB2312" w:hAnsi="黑体" w:eastAsia="仿宋_GB2312"/>
          <w:sz w:val="32"/>
          <w:szCs w:val="32"/>
          <w:highlight w:val="none"/>
        </w:rPr>
        <w:t>本项目不支付预付款。</w:t>
      </w:r>
    </w:p>
    <w:p>
      <w:pPr>
        <w:pStyle w:val="13"/>
        <w:keepLines w:val="0"/>
        <w:pageBreakBefore w:val="0"/>
        <w:widowControl w:val="0"/>
        <w:kinsoku/>
        <w:wordWrap/>
        <w:overflowPunct/>
        <w:topLinePunct w:val="0"/>
        <w:autoSpaceDE/>
        <w:autoSpaceDN/>
        <w:bidi w:val="0"/>
        <w:adjustRightInd/>
        <w:snapToGrid/>
        <w:spacing w:line="579" w:lineRule="exact"/>
        <w:ind w:left="11" w:firstLine="640"/>
        <w:rPr>
          <w:rFonts w:hint="eastAsia" w:ascii="仿宋_GB2312" w:hAnsi="黑体" w:eastAsia="仿宋_GB2312"/>
          <w:sz w:val="32"/>
          <w:szCs w:val="32"/>
          <w:highlight w:val="none"/>
          <w:lang w:val="en-US" w:eastAsia="zh-CN"/>
        </w:rPr>
      </w:pPr>
      <w:r>
        <w:rPr>
          <w:rFonts w:hint="eastAsia" w:ascii="仿宋_GB2312" w:hAnsi="黑体" w:eastAsia="仿宋_GB2312"/>
          <w:sz w:val="32"/>
          <w:szCs w:val="32"/>
          <w:highlight w:val="none"/>
          <w:lang w:val="en-US" w:eastAsia="zh-CN"/>
        </w:rPr>
        <w:t>1.</w:t>
      </w:r>
      <w:r>
        <w:rPr>
          <w:rFonts w:hint="eastAsia" w:ascii="仿宋_GB2312" w:hAnsi="黑体" w:eastAsia="仿宋_GB2312"/>
          <w:sz w:val="32"/>
          <w:szCs w:val="32"/>
          <w:highlight w:val="none"/>
        </w:rPr>
        <w:t>项目实施完成：基础硬件模块、基础软件模块、业务信息系统等（预计</w:t>
      </w:r>
      <w:r>
        <w:rPr>
          <w:rFonts w:hint="eastAsia" w:ascii="仿宋_GB2312" w:hAnsi="黑体" w:eastAsia="仿宋_GB2312"/>
          <w:sz w:val="32"/>
          <w:szCs w:val="32"/>
          <w:highlight w:val="none"/>
          <w:lang w:val="en-US" w:eastAsia="zh-CN"/>
        </w:rPr>
        <w:t>时间2025年12月前</w:t>
      </w:r>
      <w:r>
        <w:rPr>
          <w:rFonts w:hint="eastAsia" w:ascii="仿宋_GB2312" w:hAnsi="黑体" w:eastAsia="仿宋_GB2312"/>
          <w:sz w:val="32"/>
          <w:szCs w:val="32"/>
          <w:highlight w:val="none"/>
        </w:rPr>
        <w:t>）三个业务板块并通过</w:t>
      </w:r>
      <w:r>
        <w:rPr>
          <w:rFonts w:hint="eastAsia" w:ascii="仿宋_GB2312" w:hAnsi="黑体" w:eastAsia="仿宋_GB2312"/>
          <w:sz w:val="32"/>
          <w:szCs w:val="32"/>
          <w:highlight w:val="none"/>
          <w:lang w:eastAsia="zh-CN"/>
        </w:rPr>
        <w:t>采购方</w:t>
      </w:r>
      <w:r>
        <w:rPr>
          <w:rFonts w:hint="eastAsia" w:ascii="仿宋_GB2312" w:hAnsi="黑体" w:eastAsia="仿宋_GB2312"/>
          <w:sz w:val="32"/>
          <w:szCs w:val="32"/>
          <w:highlight w:val="none"/>
        </w:rPr>
        <w:t>验收后，</w:t>
      </w:r>
      <w:r>
        <w:rPr>
          <w:rFonts w:hint="eastAsia" w:ascii="仿宋_GB2312" w:hAnsi="黑体" w:eastAsia="仿宋_GB2312"/>
          <w:sz w:val="32"/>
          <w:szCs w:val="32"/>
          <w:highlight w:val="none"/>
          <w:lang w:eastAsia="zh-CN"/>
        </w:rPr>
        <w:t>供应商</w:t>
      </w:r>
      <w:r>
        <w:rPr>
          <w:rFonts w:hint="eastAsia" w:ascii="仿宋_GB2312" w:hAnsi="黑体" w:eastAsia="仿宋_GB2312"/>
          <w:sz w:val="32"/>
          <w:szCs w:val="32"/>
          <w:highlight w:val="none"/>
        </w:rPr>
        <w:t>收</w:t>
      </w:r>
      <w:r>
        <w:rPr>
          <w:rFonts w:hint="eastAsia" w:ascii="仿宋_GB2312" w:hAnsi="黑体" w:eastAsia="仿宋_GB2312"/>
          <w:sz w:val="32"/>
          <w:szCs w:val="32"/>
          <w:highlight w:val="none"/>
          <w:lang w:val="en-US" w:eastAsia="zh-CN"/>
        </w:rPr>
        <w:t>提交</w:t>
      </w:r>
      <w:r>
        <w:rPr>
          <w:rFonts w:hint="eastAsia" w:ascii="仿宋_GB2312" w:hAnsi="黑体" w:eastAsia="仿宋_GB2312"/>
          <w:sz w:val="32"/>
          <w:szCs w:val="32"/>
          <w:highlight w:val="none"/>
        </w:rPr>
        <w:t>验收报告</w:t>
      </w:r>
      <w:r>
        <w:rPr>
          <w:rFonts w:hint="eastAsia" w:ascii="仿宋_GB2312" w:hAnsi="黑体" w:eastAsia="仿宋_GB2312"/>
          <w:sz w:val="32"/>
          <w:szCs w:val="32"/>
          <w:highlight w:val="none"/>
          <w:lang w:val="en-US" w:eastAsia="zh-CN"/>
        </w:rPr>
        <w:t>等相关资料</w:t>
      </w:r>
      <w:r>
        <w:rPr>
          <w:rFonts w:hint="eastAsia" w:ascii="仿宋_GB2312" w:hAnsi="黑体" w:eastAsia="仿宋_GB2312"/>
          <w:sz w:val="32"/>
          <w:szCs w:val="32"/>
          <w:highlight w:val="none"/>
          <w:lang w:eastAsia="zh-CN"/>
        </w:rPr>
        <w:t>，采购方</w:t>
      </w:r>
      <w:r>
        <w:rPr>
          <w:rFonts w:hint="eastAsia" w:ascii="仿宋_GB2312" w:hAnsi="黑体" w:eastAsia="仿宋_GB2312"/>
          <w:sz w:val="32"/>
          <w:szCs w:val="32"/>
          <w:highlight w:val="none"/>
          <w:lang w:val="en-US" w:eastAsia="zh-CN"/>
        </w:rPr>
        <w:t>支付合同总金额的90%；</w:t>
      </w:r>
    </w:p>
    <w:p>
      <w:pPr>
        <w:pStyle w:val="13"/>
        <w:keepLines w:val="0"/>
        <w:pageBreakBefore w:val="0"/>
        <w:widowControl w:val="0"/>
        <w:kinsoku/>
        <w:wordWrap/>
        <w:overflowPunct/>
        <w:topLinePunct w:val="0"/>
        <w:autoSpaceDE/>
        <w:autoSpaceDN/>
        <w:bidi w:val="0"/>
        <w:adjustRightInd/>
        <w:snapToGrid/>
        <w:spacing w:line="579" w:lineRule="exact"/>
        <w:ind w:left="11" w:firstLine="640"/>
        <w:rPr>
          <w:rFonts w:hint="eastAsia" w:ascii="仿宋_GB2312" w:hAnsi="黑体" w:eastAsia="仿宋_GB2312"/>
          <w:sz w:val="32"/>
          <w:szCs w:val="32"/>
          <w:highlight w:val="none"/>
        </w:rPr>
      </w:pPr>
      <w:r>
        <w:rPr>
          <w:rFonts w:hint="eastAsia" w:ascii="仿宋_GB2312" w:hAnsi="黑体" w:eastAsia="仿宋_GB2312"/>
          <w:sz w:val="32"/>
          <w:szCs w:val="32"/>
          <w:highlight w:val="none"/>
          <w:lang w:val="en-US" w:eastAsia="zh-CN"/>
        </w:rPr>
        <w:t>2.</w:t>
      </w:r>
      <w:r>
        <w:rPr>
          <w:rFonts w:hint="eastAsia" w:ascii="仿宋_GB2312" w:hAnsi="黑体" w:eastAsia="仿宋_GB2312"/>
          <w:sz w:val="32"/>
          <w:szCs w:val="32"/>
          <w:highlight w:val="none"/>
        </w:rPr>
        <w:t>完成专项服务保障24个月后，</w:t>
      </w:r>
      <w:r>
        <w:rPr>
          <w:rFonts w:hint="eastAsia" w:ascii="仿宋_GB2312" w:hAnsi="黑体" w:eastAsia="仿宋_GB2312"/>
          <w:sz w:val="32"/>
          <w:szCs w:val="32"/>
          <w:highlight w:val="none"/>
          <w:lang w:eastAsia="zh-CN"/>
        </w:rPr>
        <w:t>供应商</w:t>
      </w:r>
      <w:r>
        <w:rPr>
          <w:rFonts w:hint="eastAsia" w:ascii="仿宋_GB2312" w:hAnsi="黑体" w:eastAsia="仿宋_GB2312"/>
          <w:sz w:val="32"/>
          <w:szCs w:val="32"/>
          <w:highlight w:val="none"/>
          <w:lang w:val="en-US" w:eastAsia="zh-CN"/>
        </w:rPr>
        <w:t>提交</w:t>
      </w:r>
      <w:r>
        <w:rPr>
          <w:rFonts w:hint="eastAsia" w:ascii="仿宋_GB2312" w:hAnsi="黑体" w:eastAsia="仿宋_GB2312"/>
          <w:sz w:val="32"/>
          <w:szCs w:val="32"/>
          <w:highlight w:val="none"/>
        </w:rPr>
        <w:t>专项服务报告等相关材料，</w:t>
      </w:r>
      <w:r>
        <w:rPr>
          <w:rFonts w:hint="eastAsia" w:ascii="仿宋_GB2312" w:hAnsi="黑体" w:eastAsia="仿宋_GB2312"/>
          <w:sz w:val="32"/>
          <w:szCs w:val="32"/>
          <w:highlight w:val="none"/>
          <w:lang w:eastAsia="zh-CN"/>
        </w:rPr>
        <w:t>采购方</w:t>
      </w:r>
      <w:r>
        <w:rPr>
          <w:rFonts w:hint="eastAsia" w:ascii="仿宋_GB2312" w:hAnsi="黑体" w:eastAsia="仿宋_GB2312"/>
          <w:sz w:val="32"/>
          <w:szCs w:val="32"/>
          <w:highlight w:val="none"/>
          <w:lang w:val="en-US" w:eastAsia="zh-CN"/>
        </w:rPr>
        <w:t>支付合同金额至100%</w:t>
      </w:r>
      <w:r>
        <w:rPr>
          <w:rFonts w:hint="eastAsia" w:ascii="仿宋_GB2312" w:hAnsi="黑体" w:eastAsia="仿宋_GB2312"/>
          <w:sz w:val="32"/>
          <w:szCs w:val="32"/>
          <w:highlight w:val="none"/>
        </w:rPr>
        <w:t>;</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w:t>
      </w:r>
      <w:r>
        <w:rPr>
          <w:rFonts w:hint="eastAsia" w:ascii="楷体_GB2312" w:hAnsi="楷体_GB2312" w:eastAsia="楷体_GB2312"/>
          <w:color w:val="000000"/>
          <w:sz w:val="32"/>
          <w:szCs w:val="32"/>
          <w:lang w:val="en-US" w:eastAsia="zh-CN"/>
        </w:rPr>
        <w:t>二</w:t>
      </w:r>
      <w:r>
        <w:rPr>
          <w:rFonts w:hint="eastAsia" w:ascii="楷体_GB2312" w:hAnsi="楷体_GB2312" w:eastAsia="楷体_GB2312"/>
          <w:color w:val="000000"/>
          <w:sz w:val="32"/>
          <w:szCs w:val="32"/>
        </w:rPr>
        <w:t>）违约责任</w:t>
      </w:r>
    </w:p>
    <w:p>
      <w:pPr>
        <w:pStyle w:val="1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供应商未经采购方同意而延期进场时，应当向采购方偿付违约金，违约金每天按违约服务金额的1‰计算，违约金最高限额为违约总金额的5%。如果达到违约金最高限额时仍不能交付，或进场时间影响采购方任务实施，采购方可以终止合同，而由此给采购方造成的实际损失，供应商应当给予足额赔偿。</w:t>
      </w:r>
    </w:p>
    <w:p>
      <w:pPr>
        <w:pStyle w:val="1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left"/>
        <w:textAlignment w:val="auto"/>
        <w:rPr>
          <w:rFonts w:hint="default" w:eastAsia="仿宋_GB2312"/>
          <w:highlight w:val="yellow"/>
          <w:lang w:val="en-US" w:eastAsia="zh-CN"/>
        </w:rPr>
      </w:pPr>
      <w:r>
        <w:rPr>
          <w:rFonts w:hint="eastAsia" w:ascii="仿宋_GB2312" w:hAnsi="黑体" w:eastAsia="仿宋_GB2312" w:cs="Times New Roman"/>
          <w:kern w:val="2"/>
          <w:sz w:val="32"/>
          <w:szCs w:val="32"/>
          <w:highlight w:val="none"/>
          <w:lang w:val="en-US" w:eastAsia="zh-CN" w:bidi="ar-SA"/>
        </w:rPr>
        <w:t>2.在项目实施及专项维保期间，如供应商未按照采购方要求到现场进行监督管理，如发现一次采购方有权扣除合同总金额的10%作为处罚，可累积计算。</w:t>
      </w:r>
    </w:p>
    <w:p>
      <w:pPr>
        <w:keepNext/>
        <w:keepLines w:val="0"/>
        <w:pageBreakBefore w:val="0"/>
        <w:widowControl w:val="0"/>
        <w:kinsoku/>
        <w:wordWrap/>
        <w:overflowPunct/>
        <w:topLinePunct w:val="0"/>
        <w:autoSpaceDE/>
        <w:autoSpaceDN/>
        <w:bidi w:val="0"/>
        <w:adjustRightInd/>
        <w:snapToGrid/>
        <w:spacing w:line="579" w:lineRule="exact"/>
        <w:ind w:firstLine="640" w:firstLineChars="200"/>
        <w:outlineLvl w:val="1"/>
        <w:rPr>
          <w:rFonts w:ascii="黑体" w:hAnsi="黑体" w:eastAsia="黑体"/>
          <w:sz w:val="32"/>
          <w:szCs w:val="32"/>
        </w:rPr>
      </w:pPr>
      <w:r>
        <w:rPr>
          <w:rFonts w:hint="eastAsia" w:ascii="黑体" w:hAnsi="黑体" w:eastAsia="黑体"/>
          <w:sz w:val="32"/>
          <w:szCs w:val="32"/>
        </w:rPr>
        <w:t>四、服务要求</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（一）技术服务要求</w:t>
      </w:r>
    </w:p>
    <w:p>
      <w:pPr>
        <w:keepLines w:val="0"/>
        <w:pageBreakBefore w:val="0"/>
        <w:widowControl w:val="0"/>
        <w:kinsoku/>
        <w:wordWrap/>
        <w:overflowPunct/>
        <w:topLinePunct w:val="0"/>
        <w:autoSpaceDE/>
        <w:autoSpaceDN/>
        <w:bidi w:val="0"/>
        <w:adjustRightInd/>
        <w:snapToGrid/>
        <w:spacing w:line="579" w:lineRule="exact"/>
        <w:ind w:firstLine="640"/>
        <w:rPr>
          <w:rFonts w:ascii="仿宋_GB2312" w:hAnsi="仿宋_GB2312" w:eastAsia="仿宋_GB2312"/>
          <w:color w:val="000000"/>
          <w:sz w:val="32"/>
          <w:szCs w:val="32"/>
        </w:rPr>
      </w:pPr>
      <w:r>
        <w:rPr>
          <w:rFonts w:hint="eastAsia" w:ascii="仿宋_GB2312" w:hAnsi="黑体" w:eastAsia="仿宋_GB2312"/>
          <w:sz w:val="32"/>
          <w:szCs w:val="32"/>
        </w:rPr>
        <w:t>依据</w:t>
      </w:r>
      <w:r>
        <w:rPr>
          <w:rFonts w:ascii="仿宋_GB2312" w:hAnsi="黑体" w:eastAsia="仿宋_GB2312"/>
          <w:sz w:val="32"/>
          <w:szCs w:val="32"/>
        </w:rPr>
        <w:t>《信息技术服务 监理 第1部分：总则》GB/T 19668.1-2014</w:t>
      </w:r>
      <w:r>
        <w:rPr>
          <w:rFonts w:hint="eastAsia" w:ascii="仿宋_GB2312" w:hAnsi="黑体" w:eastAsia="仿宋_GB2312"/>
          <w:sz w:val="32"/>
          <w:szCs w:val="32"/>
        </w:rPr>
        <w:t>等有关要求，</w:t>
      </w:r>
      <w:r>
        <w:rPr>
          <w:rFonts w:ascii="仿宋_GB2312" w:hAnsi="黑体" w:eastAsia="仿宋_GB2312"/>
          <w:sz w:val="32"/>
          <w:szCs w:val="32"/>
        </w:rPr>
        <w:t>监理</w:t>
      </w:r>
      <w:r>
        <w:rPr>
          <w:rFonts w:hint="eastAsia" w:ascii="仿宋_GB2312" w:hAnsi="黑体" w:eastAsia="仿宋_GB2312"/>
          <w:sz w:val="32"/>
          <w:szCs w:val="32"/>
        </w:rPr>
        <w:t>单位</w:t>
      </w:r>
      <w:r>
        <w:rPr>
          <w:rFonts w:ascii="仿宋_GB2312" w:hAnsi="黑体" w:eastAsia="仿宋_GB2312"/>
          <w:sz w:val="32"/>
          <w:szCs w:val="32"/>
        </w:rPr>
        <w:t>需依据信息系统项目监理有关的国家、军队政策、法律法规、标准规范等，对本项目提供全过程监理服务</w:t>
      </w:r>
      <w:r>
        <w:rPr>
          <w:rFonts w:hint="eastAsia" w:ascii="仿宋_GB2312" w:hAnsi="黑体" w:eastAsia="仿宋_GB2312"/>
          <w:sz w:val="32"/>
          <w:szCs w:val="32"/>
        </w:rPr>
        <w:t>。</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（二）技术支持及维保要求</w:t>
      </w:r>
    </w:p>
    <w:p>
      <w:pPr>
        <w:keepNext/>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outlineLvl w:val="1"/>
        <w:rPr>
          <w:rFonts w:hint="eastAsia" w:ascii="楷体_GB2312" w:hAnsi="楷体_GB2312" w:eastAsia="楷体_GB2312"/>
          <w:color w:val="000000"/>
          <w:sz w:val="32"/>
          <w:szCs w:val="32"/>
          <w:lang w:val="en-US" w:eastAsia="zh-CN"/>
        </w:rPr>
      </w:pPr>
      <w:r>
        <w:rPr>
          <w:rFonts w:hint="eastAsia" w:ascii="楷体_GB2312" w:hAnsi="楷体_GB2312" w:eastAsia="楷体_GB2312"/>
          <w:color w:val="000000"/>
          <w:sz w:val="32"/>
          <w:szCs w:val="32"/>
          <w:lang w:val="en-US" w:eastAsia="zh-CN"/>
        </w:rPr>
        <w:t>技术支持见技术要求服务内容</w:t>
      </w:r>
    </w:p>
    <w:p>
      <w:pPr>
        <w:pStyle w:val="2"/>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楷体_GB2312" w:hAnsi="楷体_GB2312" w:eastAsia="楷体_GB2312"/>
          <w:color w:val="000000"/>
          <w:sz w:val="32"/>
          <w:szCs w:val="32"/>
          <w:lang w:val="en-US" w:eastAsia="zh-CN"/>
        </w:rPr>
      </w:pPr>
      <w:r>
        <w:rPr>
          <w:rFonts w:hint="eastAsia" w:ascii="楷体_GB2312" w:hAnsi="楷体_GB2312" w:eastAsia="楷体_GB2312"/>
          <w:color w:val="000000"/>
          <w:sz w:val="32"/>
          <w:szCs w:val="32"/>
          <w:lang w:val="en-US" w:eastAsia="zh-CN"/>
        </w:rPr>
        <w:t>维保要求：无</w:t>
      </w:r>
    </w:p>
    <w:p>
      <w:pPr>
        <w:pStyle w:val="2"/>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640" w:firstLineChars="200"/>
        <w:rPr>
          <w:rFonts w:hint="eastAsia" w:ascii="楷体_GB2312" w:hAnsi="楷体_GB2312" w:eastAsia="楷体_GB2312"/>
          <w:color w:val="000000"/>
          <w:sz w:val="32"/>
          <w:szCs w:val="32"/>
        </w:rPr>
      </w:pPr>
      <w:r>
        <w:rPr>
          <w:rFonts w:hint="eastAsia" w:ascii="楷体_GB2312" w:hAnsi="楷体_GB2312" w:eastAsia="楷体_GB2312"/>
          <w:color w:val="000000"/>
          <w:sz w:val="32"/>
          <w:szCs w:val="32"/>
        </w:rPr>
        <w:t>施工组织及人员安排</w:t>
      </w:r>
    </w:p>
    <w:p>
      <w:pPr>
        <w:keepLines w:val="0"/>
        <w:pageBreakBefore w:val="0"/>
        <w:widowControl w:val="0"/>
        <w:numPr>
          <w:ilvl w:val="0"/>
          <w:numId w:val="0"/>
        </w:numPr>
        <w:kinsoku/>
        <w:wordWrap/>
        <w:overflowPunct/>
        <w:topLinePunct w:val="0"/>
        <w:autoSpaceDE/>
        <w:autoSpaceDN/>
        <w:bidi w:val="0"/>
        <w:adjustRightInd/>
        <w:snapToGrid/>
        <w:spacing w:line="579" w:lineRule="exact"/>
        <w:rPr>
          <w:rFonts w:hint="default" w:ascii="楷体_GB2312" w:hAnsi="楷体_GB2312" w:eastAsia="楷体_GB2312"/>
          <w:color w:val="000000"/>
          <w:sz w:val="32"/>
          <w:szCs w:val="32"/>
          <w:lang w:val="en-US" w:eastAsia="zh-CN"/>
        </w:rPr>
      </w:pPr>
      <w:r>
        <w:rPr>
          <w:rFonts w:hint="eastAsia"/>
          <w:lang w:val="en-US" w:eastAsia="zh-CN"/>
        </w:rPr>
        <w:t xml:space="preserve">      </w:t>
      </w:r>
      <w:r>
        <w:rPr>
          <w:rFonts w:hint="eastAsia" w:ascii="楷体_GB2312" w:hAnsi="楷体_GB2312" w:eastAsia="楷体_GB2312"/>
          <w:color w:val="000000"/>
          <w:sz w:val="32"/>
          <w:szCs w:val="32"/>
          <w:lang w:val="en-US" w:eastAsia="zh-CN"/>
        </w:rPr>
        <w:t>供应商详细说明驻场人员安排及以往项目经验。</w:t>
      </w:r>
    </w:p>
    <w:p>
      <w:pPr>
        <w:keepNext/>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outlineLvl w:val="1"/>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售后、培训要求</w:t>
      </w:r>
    </w:p>
    <w:p>
      <w:pPr>
        <w:pStyle w:val="2"/>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rPr>
          <w:rFonts w:hint="eastAsia" w:ascii="楷体_GB2312" w:hAnsi="楷体_GB2312" w:eastAsia="楷体_GB2312" w:cs="Times New Roman"/>
          <w:color w:val="000000"/>
          <w:kern w:val="2"/>
          <w:sz w:val="32"/>
          <w:szCs w:val="32"/>
          <w:lang w:val="en-US" w:eastAsia="zh-CN" w:bidi="ar-SA"/>
        </w:rPr>
      </w:pPr>
      <w:r>
        <w:rPr>
          <w:rFonts w:hint="eastAsia" w:ascii="楷体_GB2312" w:hAnsi="楷体_GB2312" w:eastAsia="楷体_GB2312"/>
          <w:color w:val="000000"/>
          <w:sz w:val="32"/>
          <w:szCs w:val="32"/>
          <w:lang w:val="en-US" w:eastAsia="zh-CN"/>
        </w:rPr>
        <w:t>供应商</w:t>
      </w:r>
      <w:r>
        <w:rPr>
          <w:rFonts w:hint="eastAsia" w:ascii="楷体_GB2312" w:hAnsi="楷体_GB2312" w:eastAsia="楷体_GB2312" w:cs="Times New Roman"/>
          <w:color w:val="000000"/>
          <w:kern w:val="2"/>
          <w:sz w:val="32"/>
          <w:szCs w:val="32"/>
          <w:lang w:val="en-US" w:eastAsia="zh-CN" w:bidi="ar-SA"/>
        </w:rPr>
        <w:t>须承诺履行保密义务，支持项目验收后2年的项目监理工作。</w:t>
      </w:r>
    </w:p>
    <w:p>
      <w:pPr>
        <w:keepLines w:val="0"/>
        <w:pageBreakBefore w:val="0"/>
        <w:widowControl w:val="0"/>
        <w:kinsoku/>
        <w:wordWrap/>
        <w:overflowPunct/>
        <w:topLinePunct w:val="0"/>
        <w:autoSpaceDE/>
        <w:autoSpaceDN/>
        <w:bidi w:val="0"/>
        <w:adjustRightInd/>
        <w:snapToGrid/>
        <w:spacing w:line="579" w:lineRule="exact"/>
        <w:ind w:firstLine="640" w:firstLineChars="200"/>
        <w:rPr>
          <w:rFonts w:hint="default"/>
          <w:lang w:val="en-US" w:eastAsia="zh-CN"/>
        </w:rPr>
      </w:pPr>
      <w:r>
        <w:rPr>
          <w:rFonts w:hint="eastAsia" w:ascii="楷体_GB2312" w:hAnsi="楷体_GB2312" w:eastAsia="楷体_GB2312" w:cs="Times New Roman"/>
          <w:color w:val="000000"/>
          <w:kern w:val="2"/>
          <w:sz w:val="32"/>
          <w:szCs w:val="32"/>
          <w:lang w:val="en-US" w:eastAsia="zh-CN" w:bidi="ar-SA"/>
        </w:rPr>
        <w:t>无需培训。</w:t>
      </w:r>
    </w:p>
    <w:p>
      <w:pPr>
        <w:keepNext/>
        <w:keepLines w:val="0"/>
        <w:pageBreakBefore w:val="0"/>
        <w:widowControl w:val="0"/>
        <w:kinsoku/>
        <w:wordWrap/>
        <w:overflowPunct/>
        <w:topLinePunct w:val="0"/>
        <w:autoSpaceDE/>
        <w:autoSpaceDN/>
        <w:bidi w:val="0"/>
        <w:adjustRightInd/>
        <w:snapToGrid/>
        <w:spacing w:line="579" w:lineRule="exact"/>
        <w:ind w:firstLine="640" w:firstLineChars="200"/>
        <w:outlineLvl w:val="1"/>
        <w:rPr>
          <w:rFonts w:ascii="黑体" w:hAnsi="黑体" w:eastAsia="黑体"/>
          <w:sz w:val="32"/>
          <w:szCs w:val="32"/>
        </w:rPr>
      </w:pPr>
      <w:r>
        <w:rPr>
          <w:rFonts w:hint="eastAsia" w:ascii="黑体" w:hAnsi="黑体" w:eastAsia="黑体"/>
          <w:sz w:val="32"/>
          <w:szCs w:val="32"/>
        </w:rPr>
        <w:t>六、保密和专利要求</w:t>
      </w:r>
    </w:p>
    <w:p>
      <w:pPr>
        <w:keepNext/>
        <w:keepLines w:val="0"/>
        <w:pageBreakBefore w:val="0"/>
        <w:widowControl w:val="0"/>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（一）保密要求</w:t>
      </w:r>
    </w:p>
    <w:p>
      <w:pPr>
        <w:pStyle w:val="1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严格按照《中华人民共和国保守国家秘密法》《中国人民解放军保密条例》等相关制度执行，以确保项目中涉及到总体单位、采购单位秘密信息以及项目参与方自身工程技术机密等不可对外泄漏；</w:t>
      </w:r>
    </w:p>
    <w:p>
      <w:pPr>
        <w:pStyle w:val="1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left"/>
        <w:textAlignment w:val="auto"/>
        <w:rPr>
          <w:rFonts w:hint="eastAsia" w:ascii="仿宋_GB2312" w:hAnsi="黑体" w:eastAsia="仿宋_GB2312" w:cs="Times New Roman"/>
          <w:kern w:val="2"/>
          <w:sz w:val="32"/>
          <w:szCs w:val="32"/>
          <w:lang w:val="zh-CN" w:eastAsia="zh-CN" w:bidi="ar-SA"/>
        </w:rPr>
      </w:pPr>
      <w:r>
        <w:rPr>
          <w:rFonts w:hint="eastAsia" w:ascii="仿宋_GB2312" w:hAnsi="黑体" w:eastAsia="仿宋_GB2312" w:cs="Times New Roman"/>
          <w:kern w:val="2"/>
          <w:sz w:val="32"/>
          <w:szCs w:val="32"/>
          <w:lang w:val="en-US" w:eastAsia="zh-CN" w:bidi="ar-SA"/>
        </w:rPr>
        <w:t>保密工作实行点对点管理办法，落实到人，做到有法可依，违法必究，责任落实到位。</w:t>
      </w:r>
    </w:p>
    <w:p>
      <w:pPr>
        <w:keepNext/>
        <w:keepLines w:val="0"/>
        <w:pageBreakBefore w:val="0"/>
        <w:widowControl w:val="0"/>
        <w:numPr>
          <w:ilvl w:val="0"/>
          <w:numId w:val="2"/>
        </w:numPr>
        <w:kinsoku/>
        <w:wordWrap/>
        <w:overflowPunct/>
        <w:topLinePunct w:val="0"/>
        <w:autoSpaceDE/>
        <w:autoSpaceDN/>
        <w:bidi w:val="0"/>
        <w:adjustRightInd/>
        <w:snapToGrid/>
        <w:spacing w:line="579" w:lineRule="exact"/>
        <w:ind w:firstLine="640"/>
        <w:jc w:val="left"/>
        <w:outlineLvl w:val="1"/>
        <w:rPr>
          <w:rFonts w:ascii="楷体_GB2312" w:hAnsi="楷体_GB2312" w:eastAsia="楷体_GB2312"/>
          <w:color w:val="000000"/>
          <w:sz w:val="32"/>
          <w:szCs w:val="32"/>
        </w:rPr>
      </w:pPr>
      <w:r>
        <w:rPr>
          <w:rFonts w:hint="eastAsia" w:ascii="楷体_GB2312" w:hAnsi="楷体_GB2312" w:eastAsia="楷体_GB2312"/>
          <w:color w:val="000000"/>
          <w:sz w:val="32"/>
          <w:szCs w:val="32"/>
        </w:rPr>
        <w:t>专利权要求</w:t>
      </w:r>
    </w:p>
    <w:p>
      <w:pPr>
        <w:pStyle w:val="2"/>
        <w:keepLines w:val="0"/>
        <w:pageBreakBefore w:val="0"/>
        <w:widowControl w:val="0"/>
        <w:kinsoku/>
        <w:wordWrap/>
        <w:overflowPunct/>
        <w:topLinePunct w:val="0"/>
        <w:autoSpaceDE/>
        <w:autoSpaceDN/>
        <w:bidi w:val="0"/>
        <w:adjustRightInd/>
        <w:snapToGrid/>
        <w:spacing w:line="579" w:lineRule="exact"/>
        <w:ind w:firstLine="1920" w:firstLineChars="600"/>
        <w:rPr>
          <w:rFonts w:ascii="仿宋_GB2312" w:hAnsi="黑体" w:eastAsia="仿宋_GB2312"/>
          <w:sz w:val="32"/>
          <w:szCs w:val="32"/>
        </w:rPr>
      </w:pPr>
      <w:r>
        <w:rPr>
          <w:rFonts w:hint="eastAsia" w:ascii="仿宋_GB2312" w:hAnsi="黑体" w:eastAsia="仿宋_GB2312"/>
          <w:sz w:val="32"/>
          <w:szCs w:val="32"/>
        </w:rPr>
        <w:t>无</w:t>
      </w:r>
    </w:p>
    <w:p>
      <w:pPr>
        <w:keepNext/>
        <w:keepLines w:val="0"/>
        <w:pageBreakBefore w:val="0"/>
        <w:widowControl w:val="0"/>
        <w:kinsoku/>
        <w:wordWrap/>
        <w:overflowPunct/>
        <w:topLinePunct w:val="0"/>
        <w:autoSpaceDE/>
        <w:autoSpaceDN/>
        <w:bidi w:val="0"/>
        <w:adjustRightInd/>
        <w:snapToGrid/>
        <w:spacing w:line="579" w:lineRule="exact"/>
        <w:ind w:firstLine="640" w:firstLineChars="200"/>
        <w:outlineLvl w:val="1"/>
        <w:rPr>
          <w:rFonts w:ascii="黑体" w:hAnsi="黑体" w:eastAsia="黑体"/>
          <w:sz w:val="32"/>
          <w:szCs w:val="32"/>
        </w:rPr>
      </w:pPr>
      <w:r>
        <w:rPr>
          <w:rFonts w:hint="eastAsia" w:ascii="黑体" w:hAnsi="黑体" w:eastAsia="黑体"/>
          <w:sz w:val="32"/>
          <w:szCs w:val="32"/>
        </w:rPr>
        <w:t>七、报价要求</w:t>
      </w:r>
    </w:p>
    <w:p>
      <w:pPr>
        <w:keepLines w:val="0"/>
        <w:pageBreakBefore w:val="0"/>
        <w:widowControl w:val="0"/>
        <w:kinsoku/>
        <w:wordWrap/>
        <w:overflowPunct/>
        <w:topLinePunct w:val="0"/>
        <w:autoSpaceDE/>
        <w:autoSpaceDN/>
        <w:bidi w:val="0"/>
        <w:adjustRightInd/>
        <w:snapToGrid/>
        <w:spacing w:line="579" w:lineRule="exact"/>
        <w:ind w:firstLine="640"/>
        <w:rPr>
          <w:rFonts w:ascii="仿宋_GB2312" w:hAnsi="仿宋_GB2312" w:eastAsia="仿宋_GB2312"/>
          <w:color w:val="000000"/>
          <w:sz w:val="32"/>
          <w:szCs w:val="32"/>
        </w:rPr>
      </w:pPr>
      <w:r>
        <w:rPr>
          <w:rFonts w:hint="eastAsia" w:ascii="仿宋_GB2312" w:hAnsi="仿宋_GB2312" w:eastAsia="仿宋_GB2312"/>
          <w:color w:val="000000"/>
          <w:sz w:val="32"/>
          <w:szCs w:val="32"/>
        </w:rPr>
        <w:t>项目报价不超过最高限价。</w:t>
      </w:r>
    </w:p>
    <w:p>
      <w:pPr>
        <w:keepNext/>
        <w:keepLines w:val="0"/>
        <w:pageBreakBefore w:val="0"/>
        <w:widowControl w:val="0"/>
        <w:kinsoku/>
        <w:wordWrap/>
        <w:overflowPunct/>
        <w:topLinePunct w:val="0"/>
        <w:autoSpaceDE/>
        <w:autoSpaceDN/>
        <w:bidi w:val="0"/>
        <w:adjustRightInd/>
        <w:snapToGrid/>
        <w:spacing w:line="579" w:lineRule="exact"/>
        <w:ind w:firstLine="640" w:firstLineChars="200"/>
        <w:outlineLvl w:val="1"/>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、履约保证金</w:t>
      </w:r>
    </w:p>
    <w:p>
      <w:pPr>
        <w:keepLines w:val="0"/>
        <w:pageBreakBefore w:val="0"/>
        <w:widowControl w:val="0"/>
        <w:kinsoku/>
        <w:wordWrap/>
        <w:overflowPunct/>
        <w:topLinePunct w:val="0"/>
        <w:autoSpaceDE/>
        <w:autoSpaceDN/>
        <w:bidi w:val="0"/>
        <w:adjustRightInd/>
        <w:snapToGrid/>
        <w:spacing w:line="579" w:lineRule="exact"/>
        <w:ind w:firstLine="1609" w:firstLineChars="503"/>
      </w:pPr>
      <w:r>
        <w:rPr>
          <w:rFonts w:hint="eastAsia" w:ascii="仿宋_GB2312" w:hAnsi="仿宋_GB2312" w:eastAsia="仿宋_GB2312" w:cs="Times New Roman"/>
          <w:color w:val="00000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pPr>
                      <w:pStyle w:val="5"/>
                      <w:jc w:val="right"/>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r>
                      <w:rPr>
                        <w:rFonts w:ascii="宋体" w:hAnsi="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sz w:val="28"/>
        <w:szCs w:val="28"/>
      </w:rPr>
    </w:pPr>
    <w:r>
      <w:rPr>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8</w:t>
    </w:r>
    <w:r>
      <w:rPr>
        <w:rFonts w:ascii="宋体" w:hAnsi="宋体" w:cs="宋体"/>
        <w:sz w:val="28"/>
        <w:szCs w:val="28"/>
      </w:rPr>
      <w:fldChar w:fldCharType="end"/>
    </w:r>
    <w:r>
      <w:rPr>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ECACD"/>
    <w:multiLevelType w:val="singleLevel"/>
    <w:tmpl w:val="75CECACD"/>
    <w:lvl w:ilvl="0" w:tentative="0">
      <w:start w:val="2"/>
      <w:numFmt w:val="chineseCounting"/>
      <w:suff w:val="nothing"/>
      <w:lvlText w:val="（%1）"/>
      <w:lvlJc w:val="left"/>
      <w:rPr>
        <w:rFonts w:hint="eastAsia"/>
      </w:rPr>
    </w:lvl>
  </w:abstractNum>
  <w:abstractNum w:abstractNumId="1">
    <w:nsid w:val="774BC9CC"/>
    <w:multiLevelType w:val="singleLevel"/>
    <w:tmpl w:val="774BC9C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ThmNzUwYTdiYWNjN2IyOTFiY2ZkNzFiNjM5ZWEifQ=="/>
  </w:docVars>
  <w:rsids>
    <w:rsidRoot w:val="49F21C8F"/>
    <w:rsid w:val="49F21C8F"/>
    <w:rsid w:val="4B2837C7"/>
    <w:rsid w:val="5DDA41DA"/>
    <w:rsid w:val="634B3FF6"/>
    <w:rsid w:val="78FB1A1B"/>
    <w:rsid w:val="7E18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ind w:firstLine="420"/>
      <w:textAlignment w:val="baseline"/>
    </w:pPr>
  </w:style>
  <w:style w:type="paragraph" w:styleId="3">
    <w:name w:val="caption"/>
    <w:basedOn w:val="1"/>
    <w:next w:val="1"/>
    <w:unhideWhenUsed/>
    <w:qFormat/>
    <w:uiPriority w:val="35"/>
    <w:pPr>
      <w:keepNext/>
      <w:jc w:val="center"/>
    </w:pPr>
    <w:rPr>
      <w:rFonts w:ascii="黑体" w:hAnsi="黑体" w:eastAsia="黑体" w:cstheme="majorBidi"/>
      <w:b/>
      <w:sz w:val="28"/>
      <w:szCs w:val="28"/>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autoRedefine/>
    <w:qFormat/>
    <w:uiPriority w:val="34"/>
    <w:pPr>
      <w:ind w:left="720"/>
      <w:contextualSpacing/>
    </w:pPr>
  </w:style>
  <w:style w:type="paragraph" w:customStyle="1" w:styleId="12">
    <w:name w:val="表格文字"/>
    <w:basedOn w:val="1"/>
    <w:autoRedefine/>
    <w:qFormat/>
    <w:uiPriority w:val="0"/>
    <w:pPr>
      <w:jc w:val="center"/>
    </w:pPr>
    <w:rPr>
      <w:sz w:val="20"/>
    </w:rPr>
  </w:style>
  <w:style w:type="paragraph" w:customStyle="1" w:styleId="13">
    <w:name w:val="列出段落1"/>
    <w:basedOn w:val="1"/>
    <w:autoRedefine/>
    <w:qFormat/>
    <w:uiPriority w:val="0"/>
    <w:pPr>
      <w:ind w:firstLine="420" w:firstLineChars="200"/>
    </w:pPr>
    <w:rPr>
      <w:kern w:val="0"/>
      <w:sz w:val="24"/>
    </w:rPr>
  </w:style>
  <w:style w:type="paragraph" w:customStyle="1" w:styleId="14">
    <w:name w:val="正文文本1"/>
    <w:basedOn w:val="1"/>
    <w:qFormat/>
    <w:uiPriority w:val="0"/>
    <w:pPr>
      <w:spacing w:after="120"/>
    </w:pPr>
    <w:rPr>
      <w:rFonts w:ascii="Times New Roman" w:hAnsi="Times New Roman" w:eastAsia="宋体" w:cs="Calibri"/>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6109</Words>
  <Characters>6189</Characters>
  <Lines>0</Lines>
  <Paragraphs>0</Paragraphs>
  <TotalTime>4</TotalTime>
  <ScaleCrop>false</ScaleCrop>
  <LinksUpToDate>false</LinksUpToDate>
  <CharactersWithSpaces>6206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2024-10-31T10:29:00Z</dcterms:created>
  <dc:creator>Li</dc:creator>
  <cp:lastModifiedBy>Li</cp:lastModifiedBy>
  <dcterms:modified xsi:type="dcterms:W3CDTF">2024-11-01T00:33:34Z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070807EE6262470F9062135EA773DF02_11</vt:lpwstr>
  </property>
</Properties>
</file>