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lang w:val="en-US" w:eastAsia="zh-CN"/>
        </w:rPr>
      </w:pPr>
      <w:r>
        <w:rPr>
          <w:rFonts w:hint="eastAsia" w:eastAsia="方正大标宋简体" w:cs="Times New Roman"/>
          <w:sz w:val="96"/>
          <w:szCs w:val="1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 价 文 件</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r>
        <w:rPr>
          <w:rFonts w:hint="eastAsia" w:eastAsia="方正大标宋简体" w:cs="Times New Roman"/>
          <w:sz w:val="44"/>
          <w:szCs w:val="44"/>
          <w:lang w:eastAsia="zh-CN"/>
        </w:rPr>
        <w:t>（</w:t>
      </w:r>
      <w:r>
        <w:rPr>
          <w:rFonts w:hint="eastAsia" w:eastAsia="方正大标宋简体" w:cs="Times New Roman"/>
          <w:sz w:val="44"/>
          <w:szCs w:val="44"/>
          <w:lang w:val="en-US" w:eastAsia="zh-CN"/>
        </w:rPr>
        <w:t>20万元（不含）以下</w:t>
      </w:r>
      <w:r>
        <w:rPr>
          <w:rFonts w:hint="eastAsia" w:eastAsia="方正大标宋简体" w:cs="Times New Roman"/>
          <w:sz w:val="44"/>
          <w:szCs w:val="4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项目名称：</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访客系统</w:t>
      </w:r>
      <w:r>
        <w:rPr>
          <w:rFonts w:hint="eastAsia" w:ascii="Times New Roman" w:hAnsi="Times New Roman" w:eastAsia="方正小标宋简体" w:cs="Times New Roman"/>
          <w:sz w:val="44"/>
          <w:szCs w:val="44"/>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lang w:eastAsia="zh-CN"/>
        </w:rPr>
        <w:t>采购单位：</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陆军军医大学某单位</w:t>
      </w:r>
      <w:r>
        <w:rPr>
          <w:rFonts w:hint="eastAsia" w:ascii="Times New Roman" w:hAnsi="Times New Roman" w:eastAsia="方正小标宋简体" w:cs="Times New Roman"/>
          <w:sz w:val="44"/>
          <w:szCs w:val="4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val="en-US" w:eastAsia="zh-CN"/>
        </w:rPr>
        <w:t>四</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val="en-US" w:eastAsia="zh-CN"/>
        </w:rPr>
        <w:t>四</w:t>
      </w:r>
      <w:r>
        <w:rPr>
          <w:rFonts w:hint="eastAsia" w:ascii="Times New Roman" w:hAnsi="Times New Roman" w:eastAsia="方正小标宋简体" w:cs="Times New Roman"/>
          <w:sz w:val="44"/>
          <w:szCs w:val="44"/>
        </w:rPr>
        <w:t>月</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方正大标宋简体" w:cs="Times New Roman"/>
          <w:sz w:val="44"/>
          <w:szCs w:val="44"/>
        </w:rPr>
      </w:pPr>
    </w:p>
    <w:p>
      <w:pPr>
        <w:snapToGrid w:val="0"/>
        <w:spacing w:line="500" w:lineRule="exact"/>
        <w:rPr>
          <w:rFonts w:ascii="Times New Roman" w:hAnsi="Times New Roman" w:eastAsia="黑体" w:cs="Times New Roman"/>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fmt="decimal" w:start="1"/>
          <w:cols w:space="720" w:num="1"/>
          <w:titlePg/>
          <w:docGrid w:linePitch="312" w:charSpace="0"/>
        </w:sectPr>
      </w:pPr>
    </w:p>
    <w:p>
      <w:pPr>
        <w:pStyle w:val="2"/>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就以下项目进行询价采购，欢迎有资格的供应商参加该项目询价。</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项目名称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访客系统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项目预算：</w:t>
      </w:r>
      <w:r>
        <w:rPr>
          <w:rFonts w:hint="eastAsia" w:ascii="仿宋_GB2312" w:hAnsi="仿宋_GB2312" w:eastAsia="仿宋_GB2312" w:cs="仿宋_GB2312"/>
          <w:color w:val="auto"/>
          <w:sz w:val="28"/>
          <w:szCs w:val="28"/>
          <w:u w:val="single"/>
          <w:lang w:val="en-US" w:eastAsia="zh-CN"/>
        </w:rPr>
        <w:t xml:space="preserve">      181721元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项目</w:t>
      </w:r>
      <w:r>
        <w:rPr>
          <w:rFonts w:hint="eastAsia" w:ascii="黑体" w:hAnsi="黑体" w:eastAsia="黑体" w:cs="黑体"/>
          <w:color w:val="auto"/>
          <w:sz w:val="28"/>
          <w:szCs w:val="28"/>
        </w:rPr>
        <w:t>单位：</w:t>
      </w:r>
      <w:r>
        <w:rPr>
          <w:rFonts w:hint="eastAsia" w:ascii="仿宋_GB2312" w:hAnsi="仿宋_GB2312" w:eastAsia="仿宋_GB2312" w:cs="仿宋_GB2312"/>
          <w:color w:val="auto"/>
          <w:sz w:val="28"/>
          <w:szCs w:val="28"/>
          <w:u w:val="single"/>
          <w:lang w:val="en-US" w:eastAsia="zh-CN"/>
        </w:rPr>
        <w:t xml:space="preserve"> 陆军军医大学某单位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top"/>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序号</w:t>
            </w:r>
          </w:p>
        </w:tc>
        <w:tc>
          <w:tcPr>
            <w:tcW w:w="1184" w:type="pct"/>
            <w:vAlign w:val="top"/>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名称</w:t>
            </w:r>
          </w:p>
        </w:tc>
        <w:tc>
          <w:tcPr>
            <w:tcW w:w="1666" w:type="pct"/>
            <w:vAlign w:val="top"/>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技术要求</w:t>
            </w:r>
          </w:p>
        </w:tc>
        <w:tc>
          <w:tcPr>
            <w:tcW w:w="833" w:type="pct"/>
            <w:vAlign w:val="top"/>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数量</w:t>
            </w:r>
          </w:p>
        </w:tc>
        <w:tc>
          <w:tcPr>
            <w:tcW w:w="836" w:type="pct"/>
            <w:vAlign w:val="top"/>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184"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访客系统</w:t>
            </w:r>
          </w:p>
        </w:tc>
        <w:tc>
          <w:tcPr>
            <w:tcW w:w="1666"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lang w:val="en-US" w:eastAsia="zh-CN"/>
              </w:rPr>
              <w:t>详见第二部分技术与商务需求</w:t>
            </w:r>
          </w:p>
        </w:tc>
        <w:tc>
          <w:tcPr>
            <w:tcW w:w="833"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836"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套</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供应商资格要求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（一）符合《中华人民共和国政府采购法》第二十二条资格条件：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5.参加政府采购活动前3年内，在经营活动中没有重大违法记录；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（二）特定资格条件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1.采购人通过“企查查”、“天眼查”等第三方平台查询公司关联性，以及是否在军队供应商黑名单及本院不良记录中；采购人通过“信用中国”或“国家企业信用信息公示系统”查询近3年内，</w:t>
      </w:r>
      <w:r>
        <w:rPr>
          <w:rFonts w:hint="eastAsia" w:ascii="仿宋_GB2312" w:hAnsi="仿宋_GB2312" w:eastAsia="仿宋_GB2312" w:cs="仿宋_GB2312"/>
          <w:color w:val="auto"/>
          <w:kern w:val="0"/>
          <w:sz w:val="28"/>
          <w:szCs w:val="28"/>
          <w:lang w:val="en-US" w:eastAsia="zh-CN"/>
        </w:rPr>
        <w:t>报价</w:t>
      </w:r>
      <w:r>
        <w:rPr>
          <w:rFonts w:hint="eastAsia" w:ascii="仿宋_GB2312" w:hAnsi="仿宋_GB2312" w:eastAsia="仿宋_GB2312" w:cs="仿宋_GB2312"/>
          <w:color w:val="auto"/>
          <w:kern w:val="0"/>
          <w:sz w:val="28"/>
          <w:szCs w:val="28"/>
        </w:rPr>
        <w:t>人无因违法经营而受到刑事处罚、责令停产停业、吊销许可证或执照、较大数额罚款等行政处罚。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2.本项目不接受联合体报价。</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lang w:eastAsia="zh-CN"/>
        </w:rPr>
        <w:t>如有其他特定资格条件，无则删除本条。</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i/>
          <w:iCs/>
          <w:color w:val="auto"/>
          <w:kern w:val="0"/>
          <w:sz w:val="28"/>
          <w:szCs w:val="28"/>
          <w:lang w:val="en-US" w:eastAsia="zh-CN"/>
        </w:rPr>
        <w:t>注：根据《军队物资服务采购评审管理暂行办法》（军后采﹝2022﹞058号）第十条“第二款：除国家和军队规定的经营许可、必备资质条件外，资格性要求通常不得限定供应商的所有制形式、组织形式、注册地、企业规模、特定的证书或者奖项、生产厂家授权或者背书（进口项目除外），以及与项目没有直接关系的其他资质。确实需要设置本条第二款的特殊资格性要求的，应当报采购服务站上级管理部门审批。”</w:t>
      </w:r>
      <w:r>
        <w:rPr>
          <w:rFonts w:hint="eastAsia" w:ascii="仿宋_GB2312" w:hAnsi="仿宋_GB2312" w:eastAsia="仿宋_GB2312" w:cs="仿宋_GB2312"/>
          <w:color w:val="auto"/>
          <w:kern w:val="0"/>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参加报价供应商必须满足资格要求中的所有条款，否则其报价将被拒绝。</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eastAsia="黑体"/>
          <w:sz w:val="28"/>
          <w:szCs w:val="28"/>
        </w:rPr>
      </w:pPr>
      <w:r>
        <w:rPr>
          <w:rFonts w:hint="eastAsia" w:eastAsia="黑体"/>
          <w:sz w:val="28"/>
          <w:szCs w:val="28"/>
          <w:lang w:val="en-US" w:eastAsia="zh-CN"/>
        </w:rPr>
        <w:t>询价文件申领时间、方式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（一）询价文件申领时间：自公告发布之日起</w:t>
      </w:r>
      <w:r>
        <w:rPr>
          <w:rFonts w:hint="eastAsia" w:ascii="仿宋_GB2312" w:hAnsi="仿宋_GB2312" w:eastAsia="仿宋_GB2312" w:cs="仿宋_GB2312"/>
          <w:color w:val="auto"/>
          <w:kern w:val="0"/>
          <w:sz w:val="28"/>
          <w:szCs w:val="28"/>
          <w:lang w:val="en-US" w:eastAsia="zh-CN"/>
        </w:rPr>
        <w:t>至</w:t>
      </w:r>
      <w:r>
        <w:rPr>
          <w:rFonts w:hint="eastAsia" w:ascii="仿宋_GB2312" w:hAnsi="仿宋_GB2312" w:eastAsia="仿宋_GB2312" w:cs="仿宋_GB2312"/>
          <w:color w:val="auto"/>
          <w:sz w:val="28"/>
          <w:szCs w:val="28"/>
          <w:u w:val="single"/>
          <w:lang w:val="en-US" w:eastAsia="zh-CN"/>
        </w:rPr>
        <w:t xml:space="preserve"> 2024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5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9 </w:t>
      </w:r>
      <w:r>
        <w:rPr>
          <w:rFonts w:hint="eastAsia" w:ascii="仿宋_GB2312" w:hAnsi="仿宋_GB2312" w:eastAsia="仿宋_GB2312" w:cs="仿宋_GB2312"/>
          <w:color w:val="auto"/>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（二）询价文件申领方式：同询价公告一并挂网，自行下载。</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报价文件递交：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i/>
          <w:iCs/>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（一）报价文件递交</w:t>
      </w:r>
      <w:r>
        <w:rPr>
          <w:rFonts w:hint="eastAsia" w:ascii="楷体_GB2312" w:hAnsi="楷体_GB2312" w:eastAsia="楷体_GB2312" w:cs="楷体_GB2312"/>
          <w:i w:val="0"/>
          <w:iCs w:val="0"/>
          <w:caps w:val="0"/>
          <w:color w:val="auto"/>
          <w:spacing w:val="0"/>
          <w:sz w:val="28"/>
          <w:szCs w:val="28"/>
          <w:vertAlign w:val="baseline"/>
          <w:lang w:eastAsia="zh-CN"/>
        </w:rPr>
        <w:t>截止时间：</w:t>
      </w:r>
      <w:r>
        <w:rPr>
          <w:rFonts w:hint="eastAsia" w:ascii="仿宋_GB2312" w:hAnsi="仿宋_GB2312" w:eastAsia="仿宋_GB2312" w:cs="仿宋_GB2312"/>
          <w:color w:val="auto"/>
          <w:sz w:val="28"/>
          <w:szCs w:val="28"/>
          <w:u w:val="single"/>
          <w:lang w:val="en-US" w:eastAsia="zh-CN"/>
        </w:rPr>
        <w:t xml:space="preserve"> 2024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5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11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lang w:val="en-US" w:eastAsia="zh-CN"/>
        </w:rPr>
        <w:t xml:space="preserve"> 18 </w:t>
      </w:r>
      <w:r>
        <w:rPr>
          <w:rFonts w:hint="eastAsia" w:ascii="仿宋_GB2312" w:hAnsi="仿宋_GB2312" w:eastAsia="仿宋_GB2312" w:cs="仿宋_GB2312"/>
          <w:color w:val="auto"/>
          <w:sz w:val="28"/>
          <w:szCs w:val="28"/>
          <w:lang w:val="en-US" w:eastAsia="zh-CN"/>
        </w:rPr>
        <w:t>时</w:t>
      </w:r>
      <w:r>
        <w:rPr>
          <w:rFonts w:hint="eastAsia" w:ascii="仿宋_GB2312" w:hAnsi="仿宋_GB2312" w:eastAsia="仿宋_GB2312" w:cs="仿宋_GB2312"/>
          <w:i/>
          <w:iCs/>
          <w:color w:val="auto"/>
          <w:sz w:val="28"/>
          <w:szCs w:val="28"/>
          <w:u w:val="single"/>
          <w:lang w:val="en-US" w:eastAsia="zh-CN"/>
        </w:rPr>
        <w:t xml:space="preserve"> 00  </w:t>
      </w:r>
      <w:r>
        <w:rPr>
          <w:rFonts w:hint="eastAsia" w:ascii="仿宋_GB2312" w:hAnsi="仿宋_GB2312" w:eastAsia="仿宋_GB2312" w:cs="仿宋_GB2312"/>
          <w:color w:val="auto"/>
          <w:sz w:val="28"/>
          <w:szCs w:val="28"/>
          <w:lang w:val="en-US" w:eastAsia="zh-CN"/>
        </w:rPr>
        <w:t>分</w:t>
      </w:r>
      <w:r>
        <w:rPr>
          <w:rFonts w:hint="eastAsia" w:ascii="仿宋_GB2312" w:hAnsi="仿宋_GB2312" w:eastAsia="仿宋_GB2312" w:cs="仿宋_GB2312"/>
          <w:i/>
          <w:iCs/>
          <w:color w:val="auto"/>
          <w:sz w:val="28"/>
          <w:szCs w:val="28"/>
          <w:lang w:val="en-US" w:eastAsia="zh-CN"/>
        </w:rPr>
        <w:t>（公告日期结束后任意时间）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（二）报价文件递交要求：签字盖章完善并密封递交，否则其报价将被拒绝。</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color w:val="auto"/>
          <w:sz w:val="28"/>
          <w:szCs w:val="28"/>
        </w:rPr>
      </w:pPr>
      <w:r>
        <w:rPr>
          <w:rFonts w:hint="eastAsia" w:ascii="楷体_GB2312" w:hAnsi="楷体_GB2312" w:eastAsia="楷体_GB2312" w:cs="楷体_GB2312"/>
          <w:i w:val="0"/>
          <w:iCs w:val="0"/>
          <w:caps w:val="0"/>
          <w:color w:val="auto"/>
          <w:spacing w:val="0"/>
          <w:sz w:val="28"/>
          <w:szCs w:val="28"/>
          <w:vertAlign w:val="baseline"/>
          <w:lang w:val="en-US" w:eastAsia="zh-CN"/>
        </w:rPr>
        <w:t>（三）报价文件递交地址：重庆市沙坪坝区高滩岩正街30号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联系方式：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eastAsia="zh-CN"/>
        </w:rPr>
        <w:t>联</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系</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人：</w:t>
      </w:r>
      <w:r>
        <w:rPr>
          <w:rFonts w:hint="eastAsia" w:ascii="仿宋_GB2312" w:hAnsi="仿宋_GB2312" w:eastAsia="仿宋_GB2312" w:cs="仿宋_GB2312"/>
          <w:color w:val="auto"/>
          <w:sz w:val="28"/>
          <w:szCs w:val="28"/>
          <w:u w:val="single"/>
          <w:lang w:val="en-US" w:eastAsia="zh-CN"/>
        </w:rPr>
        <w:t xml:space="preserve">   吴老师    </w:t>
      </w:r>
    </w:p>
    <w:p>
      <w:pPr>
        <w:pStyle w:val="18"/>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i w:val="0"/>
          <w:iCs w:val="0"/>
          <w:caps w:val="0"/>
          <w:color w:val="auto"/>
          <w:spacing w:val="0"/>
          <w:kern w:val="2"/>
          <w:sz w:val="28"/>
          <w:szCs w:val="28"/>
          <w:lang w:val="en-US" w:eastAsia="zh-CN" w:bidi="ar-SA"/>
        </w:rPr>
        <w:t>联系电话：</w:t>
      </w:r>
      <w:r>
        <w:rPr>
          <w:rFonts w:hint="eastAsia" w:ascii="仿宋_GB2312" w:hAnsi="仿宋_GB2312" w:eastAsia="仿宋_GB2312" w:cs="仿宋_GB2312"/>
          <w:color w:val="auto"/>
          <w:sz w:val="28"/>
          <w:szCs w:val="28"/>
          <w:u w:val="single"/>
          <w:lang w:val="en-US" w:eastAsia="zh-CN"/>
        </w:rPr>
        <w:t xml:space="preserve"> 13101263868  </w:t>
      </w:r>
    </w:p>
    <w:p>
      <w:pPr>
        <w:rPr>
          <w:rFonts w:hint="default"/>
          <w:lang w:val="en-US" w:eastAsia="zh-CN"/>
        </w:rPr>
      </w:pPr>
    </w:p>
    <w:p>
      <w:pPr>
        <w:pStyle w:val="2"/>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564" w:type="pct"/>
            <w:vAlign w:val="center"/>
          </w:tcPr>
          <w:p>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1505" w:type="pct"/>
            <w:vAlign w:val="center"/>
          </w:tcPr>
          <w:p>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976" w:type="pct"/>
            <w:vAlign w:val="center"/>
          </w:tcPr>
          <w:p>
            <w:pPr>
              <w:pStyle w:val="9"/>
              <w:spacing w:line="240" w:lineRule="atLeast"/>
              <w:ind w:left="0"/>
              <w:jc w:val="center"/>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828" w:type="pct"/>
            <w:vAlign w:val="center"/>
          </w:tcPr>
          <w:p>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1125" w:type="pct"/>
            <w:vAlign w:val="center"/>
          </w:tcPr>
          <w:p>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pPr>
              <w:pStyle w:val="5"/>
              <w:spacing w:line="240" w:lineRule="atLeast"/>
              <w:ind w:firstLine="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1505"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访客系统</w:t>
            </w:r>
          </w:p>
        </w:tc>
        <w:tc>
          <w:tcPr>
            <w:tcW w:w="976"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套</w:t>
            </w:r>
          </w:p>
        </w:tc>
        <w:tc>
          <w:tcPr>
            <w:tcW w:w="828" w:type="pct"/>
            <w:vAlign w:val="center"/>
          </w:tcPr>
          <w:p>
            <w:pPr>
              <w:pStyle w:val="5"/>
              <w:spacing w:line="400" w:lineRule="exac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1</w:t>
            </w:r>
          </w:p>
        </w:tc>
        <w:tc>
          <w:tcPr>
            <w:tcW w:w="1125" w:type="pct"/>
            <w:vAlign w:val="center"/>
          </w:tcPr>
          <w:p>
            <w:pPr>
              <w:pStyle w:val="5"/>
              <w:spacing w:line="400" w:lineRule="exact"/>
              <w:ind w:firstLine="0"/>
              <w:jc w:val="center"/>
              <w:outlineLvl w:val="0"/>
              <w:rPr>
                <w:rFonts w:ascii="Times New Roman" w:hAnsi="Times New Roman" w:cs="Times New Roman" w:eastAsiaTheme="minorEastAsia"/>
                <w:sz w:val="21"/>
                <w:szCs w:val="21"/>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rPr>
          <w:rFonts w:ascii="仿宋_GB2312" w:eastAsia="仿宋_GB2312"/>
          <w:highlight w:val="none"/>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总体需求</w:t>
      </w:r>
    </w:p>
    <w:p>
      <w:pPr>
        <w:pStyle w:val="34"/>
        <w:numPr>
          <w:ilvl w:val="0"/>
          <w:numId w:val="4"/>
        </w:numPr>
        <w:ind w:firstLine="640"/>
        <w:rPr>
          <w:rFonts w:ascii="Times New Roman" w:hAnsi="Times New Roman" w:eastAsia="仿宋_GB2312" w:cs="Times New Roman"/>
          <w:szCs w:val="28"/>
        </w:rPr>
      </w:pPr>
      <w:r>
        <w:rPr>
          <w:rFonts w:hint="eastAsia" w:ascii="仿宋_GB2312" w:hAnsi="仿宋_GB2312" w:eastAsia="仿宋_GB2312" w:cs="仿宋_GB2312"/>
          <w:sz w:val="32"/>
          <w:szCs w:val="32"/>
        </w:rPr>
        <w:t>大学访客系统的主要目标是通过信息化的手段，减少门岗的人工重复性工作，实现对访客信息的有效管理，提</w:t>
      </w:r>
      <w:r>
        <w:rPr>
          <w:rFonts w:hint="eastAsia" w:ascii="仿宋_GB2312" w:hAnsi="仿宋_GB2312" w:eastAsia="仿宋_GB2312" w:cs="仿宋_GB2312"/>
          <w:sz w:val="32"/>
          <w:szCs w:val="32"/>
          <w:lang w:val="en-US" w:eastAsia="zh-CN"/>
        </w:rPr>
        <w:t>高</w:t>
      </w:r>
      <w:r>
        <w:rPr>
          <w:rFonts w:hint="eastAsia" w:ascii="仿宋_GB2312" w:hAnsi="仿宋_GB2312" w:eastAsia="仿宋_GB2312" w:cs="仿宋_GB2312"/>
          <w:sz w:val="32"/>
          <w:szCs w:val="32"/>
        </w:rPr>
        <w:t>大学校园安全，提供便捷的访客访问服务，减少访客在西门、东门的聚集时间。同时需要打通门禁系统与校内学生请销假系统，</w:t>
      </w:r>
      <w:bookmarkStart w:id="0" w:name="_GoBack"/>
      <w:bookmarkEnd w:id="0"/>
      <w:r>
        <w:rPr>
          <w:rFonts w:hint="eastAsia" w:ascii="仿宋_GB2312" w:hAnsi="仿宋_GB2312" w:eastAsia="仿宋_GB2312" w:cs="仿宋_GB2312"/>
          <w:sz w:val="32"/>
          <w:szCs w:val="32"/>
        </w:rPr>
        <w:t>实现门禁权限联动。</w:t>
      </w:r>
    </w:p>
    <w:p>
      <w:pPr>
        <w:pStyle w:val="34"/>
        <w:numPr>
          <w:ilvl w:val="0"/>
          <w:numId w:val="4"/>
        </w:numPr>
        <w:ind w:firstLine="640"/>
        <w:rPr>
          <w:rFonts w:ascii="Times New Roman" w:hAnsi="Times New Roman" w:eastAsia="仿宋_GB2312" w:cs="Times New Roman"/>
          <w:szCs w:val="28"/>
        </w:rPr>
      </w:pPr>
      <w:r>
        <w:rPr>
          <w:rFonts w:hint="eastAsia" w:ascii="仿宋_GB2312" w:hAnsi="仿宋_GB2312" w:eastAsia="仿宋_GB2312" w:cs="仿宋_GB2312"/>
          <w:sz w:val="32"/>
          <w:szCs w:val="32"/>
        </w:rPr>
        <w:t>在尽量控制成本的原则下，利用已有 “门禁系统”和“网上办事大厅”，通过部署访客模块，实现在互联网发布访客登记页面、教学资源网手机端审核访客入校申请、请假申请，安管网接收信息并分配门禁权限。</w:t>
      </w:r>
    </w:p>
    <w:p>
      <w:pPr>
        <w:pStyle w:val="34"/>
        <w:numPr>
          <w:ilvl w:val="0"/>
          <w:numId w:val="4"/>
        </w:numPr>
        <w:ind w:firstLine="640"/>
        <w:rPr>
          <w:rFonts w:ascii="Times New Roman" w:hAnsi="Times New Roman" w:eastAsia="仿宋_GB2312" w:cs="Times New Roman"/>
          <w:szCs w:val="28"/>
        </w:rPr>
      </w:pPr>
      <w:r>
        <w:rPr>
          <w:rFonts w:hint="eastAsia" w:ascii="仿宋_GB2312" w:hAnsi="仿宋_GB2312" w:eastAsia="仿宋_GB2312" w:cs="仿宋_GB2312"/>
          <w:sz w:val="32"/>
          <w:szCs w:val="32"/>
        </w:rPr>
        <w:t>项目实施完毕以后，大学西门、东门将不再使用纸质版登记。访客使用西门、东门设置的访客机，刷个人身份证后，访客机将进行人脸识别，识别通过后，即可通过身份证获取临时访客权限；访客如果驾驶车辆，也需下车在访客机刷身份证验证后，获取抬杆权限。</w:t>
      </w: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pPr>
      <w:r>
        <w:rPr>
          <w:rFonts w:hint="eastAsia" w:ascii="黑体" w:hAnsi="黑体" w:eastAsia="黑体" w:cs="黑体"/>
          <w:lang w:val="en-US" w:eastAsia="zh-CN"/>
        </w:rPr>
        <w:t>技术需求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1265"/>
        <w:gridCol w:w="5495"/>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549" w:type="dxa"/>
            <w:vAlign w:val="top"/>
          </w:tcPr>
          <w:p>
            <w:pPr>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序号</w:t>
            </w:r>
          </w:p>
        </w:tc>
        <w:tc>
          <w:tcPr>
            <w:tcW w:w="1265" w:type="dxa"/>
            <w:vAlign w:val="top"/>
          </w:tcPr>
          <w:p>
            <w:pPr>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分类</w:t>
            </w:r>
          </w:p>
        </w:tc>
        <w:tc>
          <w:tcPr>
            <w:tcW w:w="5495" w:type="dxa"/>
            <w:vAlign w:val="top"/>
          </w:tcPr>
          <w:p>
            <w:pPr>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指标要求</w:t>
            </w:r>
          </w:p>
        </w:tc>
        <w:tc>
          <w:tcPr>
            <w:tcW w:w="1207" w:type="dxa"/>
            <w:vAlign w:val="top"/>
          </w:tcPr>
          <w:p>
            <w:pPr>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证明方式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516" w:type="dxa"/>
            <w:gridSpan w:val="4"/>
          </w:tcPr>
          <w:p>
            <w:pPr>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一、硬件设备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549" w:type="dxa"/>
          </w:tcPr>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265" w:type="dxa"/>
            <w:textDirection w:val="tbLrV"/>
          </w:tcPr>
          <w:p>
            <w:pPr>
              <w:ind w:left="113" w:right="113" w:firstLine="960" w:firstLineChars="3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自  助  人  证  核  验  终  端</w:t>
            </w:r>
          </w:p>
        </w:tc>
        <w:tc>
          <w:tcPr>
            <w:tcW w:w="5495"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1、主处理器：高性能嵌入式处理器；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2、操作系统：嵌入式LINUX操作系统；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3、按键类型：触摸按键；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4、网络协议：IPv4；RTSP；RTP；TCP；UDP；</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5、显示屏≥10.1寸TFT屏；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6、屏幕类型：电容触摸屏，显示屏分辨率≥1280×800；</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7、摄像头为≤1/2.7 CMOS高清宽动态双摄像头；</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8、光照补偿：自动白光补光;自动红外补光；</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9、语音提示：支持；开关机按键：1个；人证比对：支持；读卡类型：身份证；广告播放：支持图片广告；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10、实时监控：支持；抓拍功能：支持；主动注册：支持；人脸识别身高范围：建议0.9m～2.4m；人脸识别距离：0.3m～1m；人脸识别速度≤0.2s；人证比对时间≤1.5s；</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11、身份证容量≥30000个；居民身份证阅读模块：符合GA450-2013标准；二代身份证读卡器：读卡符合公安部GA450/IGA450标准；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12、人脸容量≥20000张；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13、具有RS-485接口≥1个；RS-232接口≥1个；USB接口：≥2个USB2.0接口；</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14、网络接口：210Mbps/100Mbps以太网口；</w:t>
            </w:r>
          </w:p>
        </w:tc>
        <w:tc>
          <w:tcPr>
            <w:tcW w:w="120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产品彩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4"/>
          </w:tcPr>
          <w:p>
            <w:pPr>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二、软件及开发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49"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265" w:type="dxa"/>
            <w:textDirection w:val="tbLrV"/>
          </w:tcPr>
          <w:p>
            <w:pPr>
              <w:ind w:left="113" w:right="113"/>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访   客   管   理   系   统</w:t>
            </w:r>
          </w:p>
        </w:tc>
        <w:tc>
          <w:tcPr>
            <w:tcW w:w="5495" w:type="dxa"/>
          </w:tcPr>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支持访客布控，对访客可通行区域进行管控；</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支持在访客权限下载记录中可以管理已来访人员的权限下载记录，且可操作重新下发权限；</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支持对访客进行分类管理，在访客预约时可以提示访客分组，可有针对性的安排接待；</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支持设置岗亭授权设备，设备包括门禁通道、道闸通道、可视对讲设备、人脸通道；支持通过设备ip、岗亭名称、岗亭状态对设备进行检索，支持添加多个岗亭访客机设备，可实时展示设备在/离线状态；</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支持访客刷卡记录查询，支持按开始结束时间、开门类型、门通道、访客姓名、访客卡号、事件类型、开门结果查询刷卡记录；</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支持对访客刷卡记录保存时间进行配置；</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支持配置自动签到设备和自动签离设备；</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支持访客在非访客区域抓拍后报警上报、报警联动；</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支持配置审批提醒短信模板、审批反馈短信模板、到访提醒短信模板、离访提醒短信模板、短信验证码模板；</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支持将访客添加入黑名单，黑名单访客不能操作预约、不能到访；</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支持将访客与卡片关联，访客可以使用IC卡片通行；</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支持通过刷二代身份证的方式获取来访人信息和被访人信息；</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支持通过二维码扫描或URL在网页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微信公众号页面进行访客邀约、预约、登记，邀约可填写访客基本信息、人脸特征信息、车牌车牌信息实现访客来访自动通行；</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支持多种证件类型，包括身份证、军官证、学生证、驾驶证、护照、港澳通行证；</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支持录入多个随访人员信息，随访人员也可以录入车牌实现开车入场；</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支持访问者上传人员图片，到访问现场时可通过刷脸进入访问区域；</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支持预约记录变更时以短信方式通知来访人和被访人当前预约记录的进展和结果；</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支持VIP访客预约，预约审批成功后，直接将VIP访客相关的人员基本信息、生物特征信息、车辆信息自动授权到通行设备上；</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支持对访客预约到访、预约离访时间进行管理，超过离访时间自动收回访客权限；</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业务能力：数据查询（基础数据100W）≤5s，黑名单库10000人，访客预约数量上限10000人，访客信息最大管理数量10000人；</w:t>
            </w:r>
          </w:p>
          <w:p>
            <w:pPr>
              <w:numPr>
                <w:ilvl w:val="0"/>
                <w:numId w:val="5"/>
              </w:numPr>
              <w:rPr>
                <w:rFonts w:ascii="仿宋_GB2312" w:hAnsi="仿宋_GB2312" w:eastAsia="仿宋_GB2312" w:cs="仿宋_GB2312"/>
                <w:sz w:val="32"/>
                <w:szCs w:val="32"/>
              </w:rPr>
            </w:pPr>
            <w:r>
              <w:rPr>
                <w:rFonts w:hint="eastAsia" w:ascii="仿宋_GB2312" w:hAnsi="仿宋_GB2312" w:eastAsia="仿宋_GB2312" w:cs="仿宋_GB2312"/>
                <w:sz w:val="32"/>
                <w:szCs w:val="32"/>
              </w:rPr>
              <w:t>系统与现有校园安防管理平台无缝对接，能实现访客成功预约后自动对门禁设备进行权限下发，提供现有校园安防管理平台及门禁设备厂商的无缝对接承诺函；</w:t>
            </w:r>
          </w:p>
        </w:tc>
        <w:tc>
          <w:tcPr>
            <w:tcW w:w="1207" w:type="dxa"/>
          </w:tcPr>
          <w:p>
            <w:pPr>
              <w:rPr>
                <w:rFonts w:ascii="仿宋_GB2312" w:hAnsi="仿宋_GB2312" w:eastAsia="仿宋_GB2312" w:cs="仿宋_GB2312"/>
                <w:sz w:val="32"/>
                <w:szCs w:val="32"/>
              </w:rPr>
            </w:pPr>
          </w:p>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49" w:type="dxa"/>
          </w:tcPr>
          <w:p>
            <w:pPr>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265" w:type="dxa"/>
            <w:textDirection w:val="tbLrV"/>
          </w:tcPr>
          <w:p>
            <w:pPr>
              <w:ind w:left="113" w:right="113"/>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访客管理软件平台</w:t>
            </w:r>
          </w:p>
        </w:tc>
        <w:tc>
          <w:tcPr>
            <w:tcW w:w="5495"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1、支持基础资源（组织、设备、人、卡、车等信息）管理，提供事件中心、数据存储、电子地图、日志记录等基础功能;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2、支持平台运维，提供服务部署维护功能、支持模块化升级部署、系统资源使用情况监控等运维相关功能；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3、支持级联、分布式、集群，实现系统核心能力提升；</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4、支持双机热备，提升系统灾备能力，保障系统的可靠性；</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5、支持mysql数据库、云数据库，统一云、标准云、智微云，满足图片、视频、结构化数据的按需求存储；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6、支持对导入、导出平台Excel业务数据进行密码加密；（提供公安部有效检测报告复印件加盖原厂公章或投标专用章）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7、支持外置安全数据库，可切换至不同安全等级的数据库，提供不同等级的数据存储、传输和计算加密；（提供公安部有效检测报告复印件加盖原厂公章或投标专用章）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8、支持访客布控，对访客可通行区域进行管控；</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9、支持对访客进行分类管理，在访客预约时可以提示访客分组，可有针对性的安排接待；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10、支持访客刷卡记录查询，支持按开始结束时间、开门类型、门通道、访客姓名、访客卡号、事件类型、开门结果查询刷卡记录；</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11、支持配置自动签到设备和自动签离设备；</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12、支持访客在非访客区域抓拍后报警上报、报警联动；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13、支持配置审批提醒短信模板、审批反馈短信模板、到访提醒短信模板、离访提醒短信模板、短信验证码模板；</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14、支持将访客添加入黑名单，黑名单访客不能操作预约、不能到访；</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15、支持通过二维码扫描或URL在网页\微信公众号页面进行访客邀约、预约、登记，邀约可填写访客基本信息、人脸特征信息、车牌车牌信息实现访客来访自动通行；</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16、支持按设备批量开启/暂停权限下发进度，对排队中、运行中的设备，可进行单个、批量暂停；（提供公安部有效检测报告复印件加盖原厂公章或投标专用章）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17、支持录入多个随访人员信息，随访人员也可以录入车牌实现开车入场；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18、支持访问者上传人员图片，到访问现场时可通过刷脸进入访问区域；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19、支持VIP访客预约，预约审批成功后，直接将VIP访客相关的人员基本信息、生物特征信息、车辆信息自动授权到通行设备上；</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20、支持对访客预约到访、预约离访时间进行管理，超过离访时间自动收回访客权限；</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21、支持访客预约，根据被访人信息、来访信息、访客信息进行预约；（提供公安部有效检测报告复印件加盖原厂公章或投标专用章）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22、支持设置被访对象是否必填；支持设置固定审核对象；（提供公安部有效检测报告复印件加盖原厂公章或投标专用章）</w:t>
            </w:r>
          </w:p>
        </w:tc>
        <w:tc>
          <w:tcPr>
            <w:tcW w:w="1207" w:type="dxa"/>
          </w:tcPr>
          <w:p>
            <w:pPr>
              <w:rPr>
                <w:rFonts w:ascii="仿宋_GB2312" w:hAnsi="仿宋_GB2312" w:eastAsia="仿宋_GB2312" w:cs="仿宋_GB2312"/>
                <w:sz w:val="24"/>
                <w:szCs w:val="24"/>
              </w:rPr>
            </w:pPr>
            <w:r>
              <w:rPr>
                <w:rFonts w:hint="eastAsia" w:ascii="仿宋_GB2312" w:hAnsi="仿宋_GB2312" w:eastAsia="仿宋_GB2312" w:cs="仿宋_GB2312"/>
                <w:sz w:val="32"/>
                <w:szCs w:val="32"/>
              </w:rPr>
              <w:t>产品彩页或产品检测报告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549"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265" w:type="dxa"/>
            <w:textDirection w:val="tbLrV"/>
          </w:tcPr>
          <w:p>
            <w:pPr>
              <w:ind w:left="113" w:right="113"/>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访客管理软件平台定制开发</w:t>
            </w:r>
          </w:p>
        </w:tc>
        <w:tc>
          <w:tcPr>
            <w:tcW w:w="5495"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1、对接外网环境下的访客预约程序，接收来自外网的预约信息，并做访客预约信息的核验匹配工作。核验字段：被访人姓名、被访人电话；</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2、学术网环境下的访客系统根据网上办事大厅的接口进行对接，实现访客预约审批信息从访客系统同步至网上办事大厅系统功能，实现网上办事大厅已审批信息同步至访客系统功能。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3、学术网环境下的访客系统根据第三方短信网关的接口进行对接，实现访客预约成功后发送预约成功提醒短信至对应访客手机的功能。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4、对原有安保平台进行升级，实现访客管理软件平台与原有安保平台的访客数据打通功能，将预约成功的访客信息同步至安保平台。</w:t>
            </w:r>
          </w:p>
        </w:tc>
        <w:tc>
          <w:tcPr>
            <w:tcW w:w="120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投标单位承诺函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trPr>
        <w:tc>
          <w:tcPr>
            <w:tcW w:w="549"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265" w:type="dxa"/>
            <w:textDirection w:val="tbLrV"/>
          </w:tcPr>
          <w:p>
            <w:pPr>
              <w:ind w:left="113" w:right="113"/>
              <w:rPr>
                <w:rFonts w:ascii="仿宋_GB2312" w:hAnsi="仿宋_GB2312" w:eastAsia="仿宋_GB2312" w:cs="仿宋_GB2312"/>
                <w:sz w:val="32"/>
                <w:szCs w:val="32"/>
              </w:rPr>
            </w:pPr>
            <w:r>
              <w:rPr>
                <w:rFonts w:hint="eastAsia" w:ascii="仿宋_GB2312" w:hAnsi="仿宋_GB2312" w:eastAsia="仿宋_GB2312" w:cs="仿宋_GB2312"/>
                <w:sz w:val="32"/>
                <w:szCs w:val="32"/>
              </w:rPr>
              <w:t>外 网 环 境 访 客 预 约 程 序 开 发</w:t>
            </w:r>
          </w:p>
        </w:tc>
        <w:tc>
          <w:tcPr>
            <w:tcW w:w="5495"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1、外网环境下访客通过二维码或链接方式完成访客预约信息的填写。(访客所填写的信息不做核验与回显，可直接填写并提交)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2、访客预约程序将访客填写完成的预约信息通过接口对接方式转发至学术网环境中的新建访客管理平台中。</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3、本地存储访客预约的信息，不验证访客信息是否合规，只做存储，当服务器硬件空间不足时自动清除访客预约记录。</w:t>
            </w:r>
          </w:p>
        </w:tc>
        <w:tc>
          <w:tcPr>
            <w:tcW w:w="120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投标单位承诺函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49" w:type="dxa"/>
          </w:tcPr>
          <w:p>
            <w:pPr>
              <w:rPr>
                <w:rFonts w:ascii="仿宋_GB2312" w:hAnsi="仿宋_GB2312" w:eastAsia="仿宋_GB2312" w:cs="仿宋_GB2312"/>
                <w:sz w:val="24"/>
                <w:szCs w:val="24"/>
              </w:rPr>
            </w:pPr>
            <w:r>
              <w:rPr>
                <w:rFonts w:hint="eastAsia" w:ascii="仿宋_GB2312" w:hAnsi="仿宋_GB2312" w:eastAsia="仿宋_GB2312" w:cs="仿宋_GB2312"/>
                <w:sz w:val="32"/>
                <w:szCs w:val="32"/>
              </w:rPr>
              <w:t>5</w:t>
            </w:r>
          </w:p>
        </w:tc>
        <w:tc>
          <w:tcPr>
            <w:tcW w:w="1265" w:type="dxa"/>
            <w:textDirection w:val="tbLrV"/>
          </w:tcPr>
          <w:p>
            <w:pPr>
              <w:ind w:left="113" w:right="113"/>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人 证 核 验 终 端 通 道 数 量 授 权</w:t>
            </w:r>
          </w:p>
        </w:tc>
        <w:tc>
          <w:tcPr>
            <w:tcW w:w="5495"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性能参数：</w:t>
            </w:r>
          </w:p>
          <w:p>
            <w:pPr>
              <w:numPr>
                <w:ilvl w:val="0"/>
                <w:numId w:val="6"/>
              </w:numPr>
              <w:rPr>
                <w:rFonts w:ascii="仿宋_GB2312" w:hAnsi="仿宋_GB2312" w:eastAsia="仿宋_GB2312" w:cs="仿宋_GB2312"/>
                <w:sz w:val="32"/>
                <w:szCs w:val="32"/>
              </w:rPr>
            </w:pPr>
            <w:r>
              <w:rPr>
                <w:rFonts w:hint="eastAsia" w:ascii="仿宋_GB2312" w:hAnsi="仿宋_GB2312" w:eastAsia="仿宋_GB2312" w:cs="仿宋_GB2312"/>
                <w:sz w:val="32"/>
                <w:szCs w:val="32"/>
              </w:rPr>
              <w:t>单台支持门禁设备最大数量：1000；</w:t>
            </w:r>
          </w:p>
          <w:p>
            <w:pPr>
              <w:numPr>
                <w:ilvl w:val="0"/>
                <w:numId w:val="6"/>
              </w:numPr>
              <w:rPr>
                <w:rFonts w:ascii="仿宋_GB2312" w:hAnsi="仿宋_GB2312" w:eastAsia="仿宋_GB2312" w:cs="仿宋_GB2312"/>
                <w:sz w:val="32"/>
                <w:szCs w:val="32"/>
              </w:rPr>
            </w:pPr>
            <w:r>
              <w:rPr>
                <w:rFonts w:hint="eastAsia" w:ascii="仿宋_GB2312" w:hAnsi="仿宋_GB2312" w:eastAsia="仿宋_GB2312" w:cs="仿宋_GB2312"/>
                <w:sz w:val="32"/>
                <w:szCs w:val="32"/>
              </w:rPr>
              <w:t>最多20个集群支持门禁设备最大数量：2万；</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功能参数：</w:t>
            </w:r>
          </w:p>
          <w:p>
            <w:pPr>
              <w:numPr>
                <w:ilvl w:val="0"/>
                <w:numId w:val="7"/>
              </w:numPr>
              <w:rPr>
                <w:rFonts w:ascii="仿宋_GB2312" w:hAnsi="仿宋_GB2312" w:eastAsia="仿宋_GB2312" w:cs="仿宋_GB2312"/>
                <w:sz w:val="32"/>
                <w:szCs w:val="32"/>
              </w:rPr>
            </w:pPr>
            <w:r>
              <w:rPr>
                <w:rFonts w:hint="eastAsia" w:ascii="仿宋_GB2312" w:hAnsi="仿宋_GB2312" w:eastAsia="仿宋_GB2312" w:cs="仿宋_GB2312"/>
                <w:sz w:val="32"/>
                <w:szCs w:val="32"/>
              </w:rPr>
              <w:t>门禁权限设置，并支持进行权限的快速下发；</w:t>
            </w:r>
          </w:p>
          <w:p>
            <w:pPr>
              <w:numPr>
                <w:ilvl w:val="0"/>
                <w:numId w:val="7"/>
              </w:numPr>
              <w:rPr>
                <w:rFonts w:ascii="仿宋_GB2312" w:hAnsi="仿宋_GB2312" w:eastAsia="仿宋_GB2312" w:cs="仿宋_GB2312"/>
                <w:sz w:val="32"/>
                <w:szCs w:val="32"/>
              </w:rPr>
            </w:pPr>
            <w:r>
              <w:rPr>
                <w:rFonts w:hint="eastAsia" w:ascii="仿宋_GB2312" w:hAnsi="仿宋_GB2312" w:eastAsia="仿宋_GB2312" w:cs="仿宋_GB2312"/>
                <w:sz w:val="32"/>
                <w:szCs w:val="32"/>
              </w:rPr>
              <w:t>门禁相关记录查询，显示过人记录、考勤记录、设备状态记录等；</w:t>
            </w:r>
          </w:p>
          <w:p>
            <w:pPr>
              <w:numPr>
                <w:ilvl w:val="0"/>
                <w:numId w:val="7"/>
              </w:numPr>
              <w:rPr>
                <w:rFonts w:ascii="仿宋_GB2312" w:hAnsi="仿宋_GB2312" w:eastAsia="仿宋_GB2312" w:cs="仿宋_GB2312"/>
                <w:sz w:val="32"/>
                <w:szCs w:val="32"/>
              </w:rPr>
            </w:pPr>
            <w:r>
              <w:rPr>
                <w:rFonts w:hint="eastAsia" w:ascii="仿宋_GB2312" w:hAnsi="仿宋_GB2312" w:eastAsia="仿宋_GB2312" w:cs="仿宋_GB2312"/>
                <w:sz w:val="32"/>
                <w:szCs w:val="32"/>
              </w:rPr>
              <w:t>支持门禁报警，联动视频、抓图、录像、上墙、短信、邮件、广播等功能；</w:t>
            </w:r>
          </w:p>
        </w:tc>
        <w:tc>
          <w:tcPr>
            <w:tcW w:w="120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产品彩 页</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rPr>
          <w:rFonts w:hint="eastAsia" w:ascii="黑体" w:hAnsi="黑体" w:eastAsia="黑体" w:cs="黑体"/>
          <w:lang w:val="en-US" w:eastAsia="zh-CN"/>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ascii="仿宋_GB2312" w:eastAsia="仿宋_GB2312"/>
          <w:highlight w:val="none"/>
        </w:rPr>
      </w:pPr>
      <w:r>
        <w:rPr>
          <w:rFonts w:hint="eastAsia" w:ascii="黑体" w:hAnsi="黑体" w:eastAsia="黑体" w:cs="黑体"/>
          <w:lang w:val="en-US" w:eastAsia="zh-CN"/>
        </w:rPr>
        <w:t>商务需求</w:t>
      </w:r>
    </w:p>
    <w:p>
      <w:pPr>
        <w:pStyle w:val="3"/>
        <w:numPr>
          <w:ilvl w:val="0"/>
          <w:numId w:val="8"/>
        </w:numPr>
        <w:spacing w:before="0" w:after="0" w:line="579" w:lineRule="exact"/>
        <w:ind w:left="0" w:firstLine="643" w:firstLineChars="200"/>
        <w:rPr>
          <w:rFonts w:ascii="仿宋_GB2312" w:eastAsia="仿宋_GB2312"/>
        </w:rPr>
      </w:pPr>
      <w:r>
        <w:rPr>
          <w:rFonts w:hint="eastAsia" w:ascii="仿宋_GB2312" w:eastAsia="仿宋_GB2312"/>
        </w:rPr>
        <w:t>采购项目预算安排情况</w:t>
      </w:r>
    </w:p>
    <w:p>
      <w:pPr>
        <w:spacing w:line="560" w:lineRule="exact"/>
        <w:ind w:firstLine="640" w:firstLineChars="200"/>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181721元。</w:t>
      </w:r>
    </w:p>
    <w:p>
      <w:pPr>
        <w:pStyle w:val="3"/>
        <w:numPr>
          <w:ilvl w:val="0"/>
          <w:numId w:val="8"/>
        </w:numPr>
        <w:spacing w:before="0" w:after="0" w:line="579" w:lineRule="exact"/>
        <w:ind w:left="0" w:firstLine="643" w:firstLineChars="200"/>
        <w:rPr>
          <w:rFonts w:ascii="仿宋_GB2312" w:eastAsia="仿宋_GB2312"/>
        </w:rPr>
      </w:pPr>
      <w:r>
        <w:rPr>
          <w:rFonts w:hint="eastAsia" w:ascii="仿宋_GB2312" w:eastAsia="仿宋_GB2312"/>
        </w:rPr>
        <w:t>数量、交付或者实施周期和服务地点</w:t>
      </w:r>
    </w:p>
    <w:p>
      <w:pPr>
        <w:pStyle w:val="34"/>
        <w:spacing w:line="560" w:lineRule="exact"/>
        <w:ind w:left="0" w:leftChars="0" w:firstLine="640" w:firstLineChars="200"/>
      </w:pPr>
      <w:r>
        <w:rPr>
          <w:rFonts w:hint="eastAsia" w:ascii="仿宋_GB2312" w:hAnsi="宋体" w:eastAsia="仿宋_GB2312" w:cs="Times New Roman"/>
          <w:kern w:val="0"/>
          <w:sz w:val="32"/>
          <w:szCs w:val="32"/>
        </w:rPr>
        <w:t>采购数量：1套。</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项目实施周期：合同签订后3个月。</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服务地点：重庆市沙坪坝区。</w:t>
      </w:r>
    </w:p>
    <w:p>
      <w:pPr>
        <w:pStyle w:val="3"/>
        <w:numPr>
          <w:ilvl w:val="0"/>
          <w:numId w:val="8"/>
        </w:numPr>
        <w:spacing w:before="0" w:after="0" w:line="579" w:lineRule="exact"/>
        <w:ind w:left="0" w:firstLine="643" w:firstLineChars="200"/>
        <w:rPr>
          <w:rFonts w:ascii="仿宋_GB2312" w:eastAsia="仿宋_GB2312"/>
        </w:rPr>
      </w:pPr>
      <w:r>
        <w:rPr>
          <w:rFonts w:hint="eastAsia" w:ascii="仿宋_GB2312" w:eastAsia="仿宋_GB2312"/>
        </w:rPr>
        <w:t>售后服务要求</w:t>
      </w:r>
    </w:p>
    <w:p>
      <w:pPr>
        <w:numPr>
          <w:ilvl w:val="0"/>
          <w:numId w:val="9"/>
        </w:numPr>
        <w:spacing w:line="579" w:lineRule="exact"/>
        <w:ind w:firstLine="640" w:firstLineChars="200"/>
        <w:rPr>
          <w:rFonts w:ascii="仿宋_GB2312" w:hAnsi="宋体" w:eastAsia="仿宋_GB2312" w:cs="Times New Roman"/>
          <w:color w:val="auto"/>
          <w:kern w:val="0"/>
          <w:sz w:val="32"/>
          <w:szCs w:val="32"/>
        </w:rPr>
      </w:pPr>
      <w:r>
        <w:rPr>
          <w:rFonts w:hint="eastAsia" w:ascii="仿宋_GB2312" w:hAnsi="宋体" w:eastAsia="仿宋_GB2312" w:cs="Times New Roman"/>
          <w:kern w:val="0"/>
          <w:sz w:val="32"/>
          <w:szCs w:val="32"/>
        </w:rPr>
        <w:t>投标人提供≥</w:t>
      </w:r>
      <w:r>
        <w:rPr>
          <w:rFonts w:hint="eastAsia" w:ascii="仿宋_GB2312" w:hAnsi="宋体" w:eastAsia="仿宋_GB2312" w:cs="Times New Roman"/>
          <w:kern w:val="0"/>
          <w:sz w:val="32"/>
          <w:szCs w:val="32"/>
          <w:lang w:val="en-US" w:eastAsia="zh-CN"/>
        </w:rPr>
        <w:t>3</w:t>
      </w:r>
      <w:r>
        <w:rPr>
          <w:rFonts w:hint="eastAsia" w:ascii="仿宋_GB2312" w:hAnsi="宋体" w:eastAsia="仿宋_GB2312" w:cs="Times New Roman"/>
          <w:kern w:val="0"/>
          <w:sz w:val="32"/>
          <w:szCs w:val="32"/>
        </w:rPr>
        <w:t>年售后质保服务</w:t>
      </w:r>
      <w:r>
        <w:rPr>
          <w:rFonts w:hint="eastAsia" w:ascii="仿宋_GB2312" w:hAnsi="宋体" w:eastAsia="仿宋_GB2312" w:cs="Times New Roman"/>
          <w:color w:val="auto"/>
          <w:kern w:val="0"/>
          <w:sz w:val="32"/>
          <w:szCs w:val="32"/>
        </w:rPr>
        <w:t>。</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（2）所有产品售后服务方式均为上门保修，即由中标人派员到采购人产品使用现场维修。</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（3）中标方提供免费培训服务。提供视频培训或现场培训，内容包括设备的基本原理、操作应用及设备的维护保养知识，直到用户能正常使用和维护设备。</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（4）提供多种售后服务渠道，包括邮箱、微信公众号、5*8小时电话咨询及远程协助服务保障制度，做到随时随地都能找到人员，确保系统环境稳定，操作正常。</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（5）将紧急情况分为不同等级，针对不同等级问题预制针对性方案，确保用户使用环境安全稳定运行。</w:t>
      </w:r>
    </w:p>
    <w:p>
      <w:pPr>
        <w:pStyle w:val="3"/>
        <w:numPr>
          <w:ilvl w:val="0"/>
          <w:numId w:val="8"/>
        </w:numPr>
        <w:spacing w:before="0" w:after="0" w:line="579" w:lineRule="exact"/>
        <w:ind w:left="0" w:firstLine="643" w:firstLineChars="200"/>
        <w:rPr>
          <w:rFonts w:ascii="仿宋_GB2312" w:eastAsia="仿宋_GB2312"/>
        </w:rPr>
      </w:pPr>
      <w:r>
        <w:rPr>
          <w:rFonts w:hint="eastAsia" w:ascii="仿宋_GB2312" w:eastAsia="仿宋_GB2312"/>
        </w:rPr>
        <w:t>验收标准及方法</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（1）相关标准：执行国家相关标准、大学要求的军用标准、行业标准、地方标准或者其他标准、规范。</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（2）验收标准：投标供应商应在设备安装完成投入使用后30个工作日内通知招标人验收。招标人对所交货物依照采购清单和双方确认的技术标准进行现场验收。</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（3）验收人员由采购人本项目主管部门领导组成验收小组，验收时以系统稳定运行为前提，软件工程规范、合同约定功能模块完成情况为依据，符合验收标准后，才能通过验收。</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（4）采用对照法的方式进行项目验收，达到采购合同约定要求的可执行软件，技术参数与采购合同一致，性能指标达到规定的标准，并符合国家及行业有关标准。</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项目凡具有下列情况之一的，按验收不合格处理：</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（1）未按项目考核指标或合同要求达到所预定的主要技术指标的；</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（2）所提供的验收材料不齐全或不真实的；</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（3）项目的内容、目标或技术路线等已进行了较大调整，但未曾得到采购人认可的；</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（4）实施过程中出现重大问题，尚未解决和作出说明，或项目实施过程及结果等存在纠纷尚未解决的；</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（5）没有对系统或设备进行试运行，或者试运行不合格；</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（7）违反法律、法规的其他行为；</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（8）因乙方原因验收不合格的，限期整改；整改仍达不到要求的，招标人有权作退货处理。退货产生的全部损失由中标人自行承担，包括不限于给招标人及第三方造成的直接或者间接损失。</w:t>
      </w:r>
    </w:p>
    <w:p>
      <w:pPr>
        <w:pStyle w:val="3"/>
        <w:numPr>
          <w:ilvl w:val="0"/>
          <w:numId w:val="8"/>
        </w:numPr>
        <w:spacing w:before="0" w:after="0" w:line="579" w:lineRule="exact"/>
        <w:ind w:left="0" w:firstLine="643" w:firstLineChars="200"/>
        <w:rPr>
          <w:rFonts w:ascii="仿宋_GB2312" w:eastAsia="仿宋_GB2312"/>
        </w:rPr>
      </w:pPr>
      <w:r>
        <w:rPr>
          <w:rFonts w:hint="eastAsia" w:ascii="仿宋_GB2312" w:eastAsia="仿宋_GB2312"/>
        </w:rPr>
        <w:t>付款方式</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到货后完成安装调试并通过测试和验收支付货款95%，质保期满支付5%。</w:t>
      </w:r>
    </w:p>
    <w:p>
      <w:pPr>
        <w:pStyle w:val="2"/>
        <w:numPr>
          <w:ilvl w:val="0"/>
          <w:numId w:val="0"/>
        </w:numPr>
        <w:spacing w:before="0" w:after="0" w:line="579" w:lineRule="exact"/>
        <w:ind w:leftChars="200"/>
        <w:rPr>
          <w:rFonts w:ascii="黑体" w:hAnsi="黑体" w:eastAsia="黑体"/>
          <w:b w:val="0"/>
          <w:bCs w:val="0"/>
          <w:sz w:val="32"/>
          <w:szCs w:val="32"/>
        </w:rPr>
      </w:pPr>
      <w:r>
        <w:rPr>
          <w:rFonts w:hint="eastAsia" w:ascii="黑体" w:hAnsi="黑体" w:eastAsia="黑体"/>
          <w:b w:val="0"/>
          <w:bCs w:val="0"/>
          <w:sz w:val="32"/>
          <w:szCs w:val="32"/>
          <w:lang w:val="en-US" w:eastAsia="zh-CN"/>
        </w:rPr>
        <w:t>五、</w:t>
      </w:r>
      <w:r>
        <w:rPr>
          <w:rFonts w:hint="eastAsia" w:ascii="黑体" w:hAnsi="黑体" w:eastAsia="黑体"/>
          <w:b w:val="0"/>
          <w:bCs w:val="0"/>
          <w:sz w:val="32"/>
          <w:szCs w:val="32"/>
        </w:rPr>
        <w:t>实施意见</w:t>
      </w:r>
    </w:p>
    <w:p>
      <w:pPr>
        <w:pStyle w:val="3"/>
        <w:numPr>
          <w:ilvl w:val="0"/>
          <w:numId w:val="10"/>
        </w:numPr>
        <w:spacing w:before="0" w:after="0" w:line="579" w:lineRule="exact"/>
        <w:ind w:left="0" w:firstLine="643" w:firstLineChars="200"/>
        <w:rPr>
          <w:rFonts w:ascii="仿宋_GB2312" w:eastAsia="仿宋_GB2312"/>
        </w:rPr>
      </w:pPr>
      <w:r>
        <w:rPr>
          <w:rFonts w:hint="eastAsia" w:ascii="仿宋_GB2312" w:eastAsia="仿宋_GB2312"/>
        </w:rPr>
        <w:t>采购方式选择</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询价采购</w:t>
      </w:r>
    </w:p>
    <w:p>
      <w:pPr>
        <w:pStyle w:val="3"/>
        <w:numPr>
          <w:ilvl w:val="0"/>
          <w:numId w:val="10"/>
        </w:numPr>
        <w:spacing w:before="0" w:after="0" w:line="579" w:lineRule="exact"/>
        <w:ind w:left="0" w:firstLine="643" w:firstLineChars="200"/>
        <w:rPr>
          <w:rFonts w:ascii="仿宋_GB2312" w:eastAsia="仿宋_GB2312"/>
        </w:rPr>
      </w:pPr>
      <w:r>
        <w:rPr>
          <w:rFonts w:hint="eastAsia" w:ascii="仿宋_GB2312" w:eastAsia="仿宋_GB2312"/>
        </w:rPr>
        <w:t>采购包划分</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不分包</w:t>
      </w:r>
    </w:p>
    <w:p>
      <w:pPr>
        <w:pStyle w:val="3"/>
        <w:numPr>
          <w:ilvl w:val="0"/>
          <w:numId w:val="10"/>
        </w:numPr>
        <w:spacing w:before="0" w:after="0" w:line="579" w:lineRule="exact"/>
        <w:ind w:left="0" w:firstLine="643" w:firstLineChars="200"/>
        <w:rPr>
          <w:rFonts w:ascii="仿宋_GB2312" w:eastAsia="仿宋_GB2312"/>
        </w:rPr>
      </w:pPr>
      <w:r>
        <w:rPr>
          <w:rFonts w:hint="eastAsia" w:ascii="仿宋_GB2312" w:eastAsia="仿宋_GB2312"/>
        </w:rPr>
        <w:t>评审方式选择</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价格优先法</w:t>
      </w:r>
    </w:p>
    <w:p>
      <w:pPr>
        <w:pStyle w:val="3"/>
        <w:numPr>
          <w:ilvl w:val="0"/>
          <w:numId w:val="10"/>
        </w:numPr>
        <w:spacing w:before="0" w:after="0" w:line="579" w:lineRule="exact"/>
        <w:ind w:left="0" w:firstLine="643" w:firstLineChars="200"/>
        <w:rPr>
          <w:rFonts w:ascii="仿宋_GB2312" w:eastAsia="仿宋_GB2312"/>
        </w:rPr>
      </w:pPr>
      <w:r>
        <w:rPr>
          <w:rFonts w:hint="eastAsia" w:ascii="仿宋_GB2312" w:eastAsia="仿宋_GB2312"/>
        </w:rPr>
        <w:t>安全保密措施</w:t>
      </w:r>
    </w:p>
    <w:p>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中标单位须与大学签订保密协议，项目实施人员须与大学签订保密承诺书。</w:t>
      </w: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rPr>
          <w:rFonts w:hint="eastAsia" w:ascii="仿宋_GB2312" w:hAnsi="宋体" w:eastAsia="仿宋_GB2312" w:cs="Times New Roman"/>
          <w:sz w:val="32"/>
          <w:szCs w:val="32"/>
          <w:highlight w:val="none"/>
        </w:rPr>
      </w:pPr>
    </w:p>
    <w:p>
      <w:pPr>
        <w:spacing w:line="560" w:lineRule="exact"/>
        <w:rPr>
          <w:rFonts w:hint="eastAsia" w:ascii="仿宋_GB2312" w:hAnsi="宋体" w:eastAsia="仿宋_GB2312" w:cs="Times New Roman"/>
          <w:sz w:val="32"/>
          <w:szCs w:val="32"/>
          <w:highlight w:val="none"/>
        </w:rPr>
      </w:pP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ind w:firstLine="640" w:firstLineChars="200"/>
        <w:rPr>
          <w:rFonts w:hint="eastAsia" w:ascii="仿宋_GB2312" w:hAnsi="宋体" w:eastAsia="仿宋_GB2312" w:cs="Times New Roman"/>
          <w:sz w:val="32"/>
          <w:szCs w:val="32"/>
          <w:highlight w:val="none"/>
        </w:rPr>
      </w:pPr>
    </w:p>
    <w:p>
      <w:pPr>
        <w:spacing w:line="560" w:lineRule="exact"/>
        <w:ind w:firstLine="640" w:firstLineChars="200"/>
        <w:rPr>
          <w:rFonts w:hint="eastAsia" w:ascii="仿宋_GB2312" w:hAnsi="宋体" w:eastAsia="仿宋_GB2312" w:cs="Times New Roman"/>
          <w:sz w:val="32"/>
          <w:szCs w:val="32"/>
          <w:highlight w:val="none"/>
        </w:rPr>
      </w:pPr>
    </w:p>
    <w:p>
      <w:pPr>
        <w:pStyle w:val="2"/>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tbl>
      <w:tblPr>
        <w:tblStyle w:val="1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830"/>
        <w:gridCol w:w="585"/>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1"/>
                <w:sz w:val="48"/>
                <w:szCs w:val="48"/>
                <w:lang w:val="en-US" w:eastAsia="zh-CN" w:bidi="ar"/>
              </w:rPr>
              <w:t xml:space="preserve">    </w:t>
            </w:r>
            <w:r>
              <w:rPr>
                <w:rStyle w:val="42"/>
                <w:sz w:val="48"/>
                <w:szCs w:val="48"/>
                <w:lang w:val="en-US" w:eastAsia="zh-CN" w:bidi="ar"/>
              </w:rPr>
              <w:t>（项目名称）</w:t>
            </w:r>
            <w:r>
              <w:rPr>
                <w:rStyle w:val="41"/>
                <w:sz w:val="48"/>
                <w:szCs w:val="48"/>
                <w:lang w:val="en-US" w:eastAsia="zh-CN" w:bidi="ar"/>
              </w:rPr>
              <w:t xml:space="preserve">  </w:t>
            </w:r>
            <w:r>
              <w:rPr>
                <w:rStyle w:val="43"/>
                <w:sz w:val="48"/>
                <w:szCs w:val="48"/>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pPr>
              <w:pStyle w:val="18"/>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pPr>
        <w:widowControl/>
        <w:jc w:val="left"/>
        <w:rPr>
          <w:rFonts w:ascii="Times New Roman" w:hAnsi="Times New Roman" w:cs="Times New Roma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pPr>
        <w:ind w:firstLine="640" w:firstLineChars="200"/>
        <w:rPr>
          <w:rFonts w:ascii="Times New Roman" w:hAnsi="Times New Roman" w:eastAsia="楷体_GB2312" w:cs="Times New Roman"/>
          <w:sz w:val="32"/>
          <w:szCs w:val="32"/>
        </w:r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pPr>
        <w:rPr>
          <w:rFonts w:ascii="Times New Roman" w:hAnsi="Times New Roman" w:cs="Times New Roman"/>
          <w:szCs w:val="28"/>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kern w:val="0"/>
          <w:szCs w:val="28"/>
        </w:rPr>
      </w:pPr>
    </w:p>
    <w:p>
      <w:pPr>
        <w:pStyle w:val="18"/>
        <w:rPr>
          <w:rFonts w:ascii="Times New Roman" w:hAnsi="Times New Roman" w:cs="Times New Roman"/>
          <w:kern w:val="0"/>
          <w:szCs w:val="28"/>
        </w:rPr>
      </w:pPr>
    </w:p>
    <w:p>
      <w:pPr>
        <w:rPr>
          <w:rFonts w:ascii="Times New Roman" w:hAnsi="Times New Roman" w:cs="Times New Roman"/>
          <w:kern w:val="0"/>
          <w:szCs w:val="28"/>
        </w:rPr>
      </w:pPr>
    </w:p>
    <w:p>
      <w:pPr>
        <w:pStyle w:val="18"/>
      </w:pP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ind w:firstLine="5600" w:firstLineChars="1750"/>
        <w:rPr>
          <w:rFonts w:ascii="Times New Roman" w:hAnsi="Times New Roman" w:eastAsia="仿宋_GB2312" w:cs="Times New Roman"/>
          <w:kern w:val="0"/>
          <w:sz w:val="32"/>
          <w:szCs w:val="32"/>
        </w:rPr>
      </w:pPr>
    </w:p>
    <w:p>
      <w:pPr>
        <w:rPr>
          <w:rFonts w:ascii="Times New Roman" w:hAnsi="Times New Roman" w:cs="Times New Roman"/>
          <w:kern w:val="0"/>
          <w:sz w:val="24"/>
          <w:szCs w:val="24"/>
        </w:rPr>
      </w:pPr>
    </w:p>
    <w:p>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460" w:lineRule="atLeast"/>
        <w:rPr>
          <w:rFonts w:ascii="Times New Roman" w:hAnsi="Times New Roman" w:eastAsia="仿宋" w:cs="Times New Roman"/>
          <w:color w:val="FF0000"/>
          <w:kern w:val="0"/>
        </w:rPr>
      </w:pPr>
    </w:p>
    <w:p>
      <w:pPr>
        <w:pStyle w:val="18"/>
      </w:pPr>
    </w:p>
    <w:p>
      <w:pPr>
        <w:pStyle w:val="18"/>
        <w:rPr>
          <w:rFonts w:hint="default"/>
          <w:lang w:val="en-US" w:eastAsia="zh-CN"/>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C297EE-F6F3-4075-ABC2-21F1548E76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D89A0555-DB6E-495F-B7CF-6A242E2131F9}"/>
  </w:font>
  <w:font w:name="方正小标宋简体">
    <w:panose1 w:val="02000000000000000000"/>
    <w:charset w:val="86"/>
    <w:family w:val="script"/>
    <w:pitch w:val="default"/>
    <w:sig w:usb0="00000001" w:usb1="08000000" w:usb2="00000000" w:usb3="00000000" w:csb0="00040000" w:csb1="00000000"/>
    <w:embedRegular r:id="rId3" w:fontKey="{DCC4E466-6793-48E1-94CE-54280F048454}"/>
  </w:font>
  <w:font w:name="方正大标宋简体">
    <w:altName w:val="微软雅黑"/>
    <w:panose1 w:val="03000509000000000000"/>
    <w:charset w:val="86"/>
    <w:family w:val="auto"/>
    <w:pitch w:val="default"/>
    <w:sig w:usb0="00000000" w:usb1="00000000" w:usb2="00000000" w:usb3="00000000" w:csb0="00040000" w:csb1="00000000"/>
    <w:embedRegular r:id="rId4" w:fontKey="{DBBB957F-0249-4362-BFF0-EB797A1A6E59}"/>
  </w:font>
  <w:font w:name="楷体_GB2312">
    <w:altName w:val="楷体"/>
    <w:panose1 w:val="02010609030101010101"/>
    <w:charset w:val="86"/>
    <w:family w:val="modern"/>
    <w:pitch w:val="default"/>
    <w:sig w:usb0="00000000" w:usb1="00000000" w:usb2="00000000" w:usb3="00000000" w:csb0="00040000" w:csb1="00000000"/>
    <w:embedRegular r:id="rId5" w:fontKey="{0B225CDC-4984-4289-AC67-4DDE3367A6A1}"/>
  </w:font>
  <w:font w:name="仿宋">
    <w:panose1 w:val="02010609060101010101"/>
    <w:charset w:val="86"/>
    <w:family w:val="modern"/>
    <w:pitch w:val="default"/>
    <w:sig w:usb0="800002BF" w:usb1="38CF7CFA" w:usb2="00000016" w:usb3="00000000" w:csb0="00040001" w:csb1="00000000"/>
    <w:embedRegular r:id="rId6" w:fontKey="{753084C4-18CC-4C77-B13E-F13645AC0096}"/>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询价文件</w:t>
    </w:r>
    <w:r>
      <w:rPr>
        <w:rFonts w:hint="eastAsia" w:ascii="仿宋_GB2312" w:hAnsi="仿宋_GB2312" w:eastAsia="仿宋_GB2312" w:cs="仿宋_GB2312"/>
        <w:sz w:val="24"/>
        <w:szCs w:val="32"/>
        <w:lang w:val="en-US" w:eastAsia="zh-CN"/>
      </w:rPr>
      <w:t xml:space="preserve">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D96548C5"/>
    <w:multiLevelType w:val="multilevel"/>
    <w:tmpl w:val="D96548C5"/>
    <w:lvl w:ilvl="0" w:tentative="0">
      <w:start w:val="1"/>
      <w:numFmt w:val="decimal"/>
      <w:suff w:val="nothing"/>
      <w:lvlText w:val="（%1）"/>
      <w:lvlJc w:val="left"/>
      <w:pPr>
        <w:ind w:left="440" w:hanging="440"/>
      </w:pPr>
      <w:rPr>
        <w:rFonts w:hint="default"/>
        <w:sz w:val="32"/>
        <w:szCs w:val="3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E13B1D8E"/>
    <w:multiLevelType w:val="singleLevel"/>
    <w:tmpl w:val="E13B1D8E"/>
    <w:lvl w:ilvl="0" w:tentative="0">
      <w:start w:val="1"/>
      <w:numFmt w:val="decimal"/>
      <w:suff w:val="nothing"/>
      <w:lvlText w:val="%1、"/>
      <w:lvlJc w:val="left"/>
    </w:lvl>
  </w:abstractNum>
  <w:abstractNum w:abstractNumId="3">
    <w:nsid w:val="E19557C6"/>
    <w:multiLevelType w:val="singleLevel"/>
    <w:tmpl w:val="E19557C6"/>
    <w:lvl w:ilvl="0" w:tentative="0">
      <w:start w:val="1"/>
      <w:numFmt w:val="chineseCounting"/>
      <w:suff w:val="space"/>
      <w:lvlText w:val="第%1部分"/>
      <w:lvlJc w:val="left"/>
      <w:rPr>
        <w:rFonts w:hint="eastAsia"/>
      </w:rPr>
    </w:lvl>
  </w:abstractNum>
  <w:abstractNum w:abstractNumId="4">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5">
    <w:nsid w:val="15EB1B4D"/>
    <w:multiLevelType w:val="singleLevel"/>
    <w:tmpl w:val="15EB1B4D"/>
    <w:lvl w:ilvl="0" w:tentative="0">
      <w:start w:val="1"/>
      <w:numFmt w:val="decimal"/>
      <w:suff w:val="nothing"/>
      <w:lvlText w:val="%1、"/>
      <w:lvlJc w:val="left"/>
    </w:lvl>
  </w:abstractNum>
  <w:abstractNum w:abstractNumId="6">
    <w:nsid w:val="1FD20A1E"/>
    <w:multiLevelType w:val="singleLevel"/>
    <w:tmpl w:val="1FD20A1E"/>
    <w:lvl w:ilvl="0" w:tentative="0">
      <w:start w:val="1"/>
      <w:numFmt w:val="decimal"/>
      <w:suff w:val="nothing"/>
      <w:lvlText w:val="（%1）"/>
      <w:lvlJc w:val="left"/>
    </w:lvl>
  </w:abstractNum>
  <w:abstractNum w:abstractNumId="7">
    <w:nsid w:val="43C5BB86"/>
    <w:multiLevelType w:val="singleLevel"/>
    <w:tmpl w:val="43C5BB86"/>
    <w:lvl w:ilvl="0" w:tentative="0">
      <w:start w:val="1"/>
      <w:numFmt w:val="decimal"/>
      <w:suff w:val="nothing"/>
      <w:lvlText w:val="%1、"/>
      <w:lvlJc w:val="left"/>
    </w:lvl>
  </w:abstractNum>
  <w:abstractNum w:abstractNumId="8">
    <w:nsid w:val="574AD8D9"/>
    <w:multiLevelType w:val="multilevel"/>
    <w:tmpl w:val="574AD8D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0E03C29"/>
    <w:multiLevelType w:val="multilevel"/>
    <w:tmpl w:val="60E03C2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7"/>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ODRjOWQ0MjQ5MTFmMGY0ZDVhYmQyZTYwN2ZmZDQ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7E34A3F"/>
    <w:rsid w:val="09420C01"/>
    <w:rsid w:val="0B0C1D12"/>
    <w:rsid w:val="0B47616D"/>
    <w:rsid w:val="11674266"/>
    <w:rsid w:val="143D7A24"/>
    <w:rsid w:val="14765EED"/>
    <w:rsid w:val="14AF636D"/>
    <w:rsid w:val="150474D2"/>
    <w:rsid w:val="1CCE22DB"/>
    <w:rsid w:val="1D7A26DD"/>
    <w:rsid w:val="1E421D2E"/>
    <w:rsid w:val="20672FDF"/>
    <w:rsid w:val="26F22F5E"/>
    <w:rsid w:val="2C245261"/>
    <w:rsid w:val="2E28703E"/>
    <w:rsid w:val="2EED207D"/>
    <w:rsid w:val="30B402AF"/>
    <w:rsid w:val="3104090C"/>
    <w:rsid w:val="35500CBF"/>
    <w:rsid w:val="36372989"/>
    <w:rsid w:val="37A42A2A"/>
    <w:rsid w:val="3C446528"/>
    <w:rsid w:val="3DD74805"/>
    <w:rsid w:val="3E0B5931"/>
    <w:rsid w:val="43A62AD6"/>
    <w:rsid w:val="44F83744"/>
    <w:rsid w:val="46CD3E3E"/>
    <w:rsid w:val="46F920D7"/>
    <w:rsid w:val="478F7ED7"/>
    <w:rsid w:val="47F95F40"/>
    <w:rsid w:val="481F6B1F"/>
    <w:rsid w:val="48E064A0"/>
    <w:rsid w:val="49A37EA2"/>
    <w:rsid w:val="4B4A05C6"/>
    <w:rsid w:val="4B5C7602"/>
    <w:rsid w:val="4DEE0395"/>
    <w:rsid w:val="50084B0C"/>
    <w:rsid w:val="505C602E"/>
    <w:rsid w:val="50D0256E"/>
    <w:rsid w:val="528B13DA"/>
    <w:rsid w:val="52C928ED"/>
    <w:rsid w:val="53793538"/>
    <w:rsid w:val="54E22292"/>
    <w:rsid w:val="54FC3833"/>
    <w:rsid w:val="581E5623"/>
    <w:rsid w:val="586E0370"/>
    <w:rsid w:val="58DD72E9"/>
    <w:rsid w:val="5A04249F"/>
    <w:rsid w:val="5C4F1B7F"/>
    <w:rsid w:val="5E6E102A"/>
    <w:rsid w:val="68B27EEE"/>
    <w:rsid w:val="68BE0B64"/>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0"/>
    <w:autoRedefine/>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autoRedefine/>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8"/>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autoRedefine/>
    <w:qFormat/>
    <w:uiPriority w:val="0"/>
  </w:style>
  <w:style w:type="character" w:styleId="24">
    <w:name w:val="Hyperlink"/>
    <w:qFormat/>
    <w:uiPriority w:val="99"/>
    <w:rPr>
      <w:color w:val="0000FF"/>
      <w:u w:val="single"/>
    </w:rPr>
  </w:style>
  <w:style w:type="character" w:customStyle="1" w:styleId="25">
    <w:name w:val="标题 1 Char"/>
    <w:basedOn w:val="21"/>
    <w:link w:val="2"/>
    <w:qFormat/>
    <w:uiPriority w:val="9"/>
    <w:rPr>
      <w:rFonts w:ascii="Times New Roman" w:hAnsi="Times New Roman" w:eastAsia="宋体" w:cs="Times New Roman"/>
      <w:b/>
      <w:bCs/>
      <w:kern w:val="44"/>
      <w:sz w:val="44"/>
      <w:szCs w:val="44"/>
    </w:rPr>
  </w:style>
  <w:style w:type="character" w:customStyle="1" w:styleId="26">
    <w:name w:val="页眉 Char"/>
    <w:basedOn w:val="21"/>
    <w:link w:val="13"/>
    <w:qFormat/>
    <w:uiPriority w:val="0"/>
    <w:rPr>
      <w:sz w:val="18"/>
      <w:szCs w:val="18"/>
    </w:rPr>
  </w:style>
  <w:style w:type="character" w:customStyle="1" w:styleId="27">
    <w:name w:val="页脚 Char"/>
    <w:basedOn w:val="21"/>
    <w:link w:val="12"/>
    <w:qFormat/>
    <w:uiPriority w:val="99"/>
    <w:rPr>
      <w:sz w:val="18"/>
      <w:szCs w:val="18"/>
    </w:rPr>
  </w:style>
  <w:style w:type="character" w:customStyle="1" w:styleId="28">
    <w:name w:val="标题 2 Char"/>
    <w:basedOn w:val="21"/>
    <w:link w:val="3"/>
    <w:autoRedefine/>
    <w:qFormat/>
    <w:uiPriority w:val="9"/>
    <w:rPr>
      <w:rFonts w:asciiTheme="majorHAnsi" w:hAnsiTheme="majorHAnsi" w:eastAsiaTheme="majorEastAsia" w:cstheme="majorBidi"/>
      <w:b/>
      <w:bCs/>
      <w:sz w:val="32"/>
      <w:szCs w:val="32"/>
    </w:rPr>
  </w:style>
  <w:style w:type="character" w:customStyle="1" w:styleId="29">
    <w:name w:val="标题 3 Char"/>
    <w:basedOn w:val="21"/>
    <w:link w:val="4"/>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qFormat/>
    <w:uiPriority w:val="0"/>
    <w:rPr>
      <w:rFonts w:ascii="Times New Roman" w:hAnsi="Times New Roman" w:eastAsia="宋体" w:cs="Times New Roman"/>
      <w:sz w:val="44"/>
      <w:szCs w:val="20"/>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autoRedefine/>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autoRedefine/>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0"/>
    <w:qFormat/>
    <w:uiPriority w:val="0"/>
    <w:rPr>
      <w:rFonts w:ascii="Times New Roman" w:hAnsi="Times New Roman" w:eastAsia="宋体" w:cs="Times New Roman"/>
      <w:sz w:val="28"/>
      <w:szCs w:val="20"/>
    </w:rPr>
  </w:style>
  <w:style w:type="character" w:customStyle="1" w:styleId="38">
    <w:name w:val="文档结构图 Char"/>
    <w:basedOn w:val="21"/>
    <w:link w:val="6"/>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1838</Words>
  <Characters>1858</Characters>
  <Lines>90</Lines>
  <Paragraphs>25</Paragraphs>
  <TotalTime>3</TotalTime>
  <ScaleCrop>false</ScaleCrop>
  <LinksUpToDate>false</LinksUpToDate>
  <CharactersWithSpaces>2252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网络中心值班</cp:lastModifiedBy>
  <cp:lastPrinted>2021-08-23T01:01:00Z</cp:lastPrinted>
  <dcterms:modified xsi:type="dcterms:W3CDTF">2024-04-25T08:52:12Z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704E68A63C81458286F1F0C9677B9307_13</vt:lpwstr>
  </property>
</Properties>
</file>