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center"/>
        <w:outlineLvl w:val="0"/>
        <w:rPr>
          <w:rFonts w:ascii="方正小标宋简体" w:eastAsia="方正小标宋简体"/>
          <w:sz w:val="44"/>
          <w:szCs w:val="44"/>
        </w:rPr>
      </w:pPr>
      <w:r>
        <w:rPr>
          <w:rFonts w:hint="eastAsia" w:ascii="方正小标宋简体" w:eastAsia="方正小标宋简体"/>
          <w:sz w:val="44"/>
          <w:szCs w:val="44"/>
        </w:rPr>
        <w:t>采购参数说明书</w:t>
      </w:r>
    </w:p>
    <w:p>
      <w:pPr>
        <w:spacing w:line="520" w:lineRule="exact"/>
        <w:outlineLvl w:val="0"/>
        <w:rPr>
          <w:rFonts w:ascii="仿宋" w:hAnsi="仿宋" w:eastAsia="仿宋" w:cs="Times New Roman"/>
          <w:kern w:val="0"/>
          <w:sz w:val="30"/>
          <w:szCs w:val="30"/>
        </w:rPr>
      </w:pPr>
      <w:r>
        <w:rPr>
          <w:rFonts w:hint="eastAsia" w:ascii="方正小标宋简体" w:hAnsi="仿宋" w:eastAsia="方正小标宋简体" w:cs="Times New Roman"/>
          <w:sz w:val="30"/>
          <w:szCs w:val="30"/>
        </w:rPr>
        <w:t>一、项目名称：</w:t>
      </w:r>
      <w:r>
        <w:rPr>
          <w:rFonts w:hint="eastAsia" w:ascii="仿宋" w:hAnsi="仿宋" w:eastAsia="仿宋" w:cs="Times New Roman"/>
          <w:kern w:val="0"/>
          <w:sz w:val="30"/>
          <w:szCs w:val="30"/>
        </w:rPr>
        <w:t>医学虚拟仿真实验教学系统</w:t>
      </w:r>
    </w:p>
    <w:p>
      <w:pPr>
        <w:spacing w:line="520" w:lineRule="exact"/>
        <w:rPr>
          <w:rFonts w:ascii="仿宋" w:hAnsi="仿宋" w:eastAsia="仿宋" w:cs="Times New Roman"/>
          <w:sz w:val="30"/>
          <w:szCs w:val="30"/>
        </w:rPr>
      </w:pPr>
      <w:r>
        <w:rPr>
          <w:rFonts w:hint="eastAsia" w:ascii="黑体" w:hAnsi="黑体" w:eastAsia="黑体" w:cs="Times New Roman"/>
          <w:sz w:val="30"/>
          <w:szCs w:val="30"/>
        </w:rPr>
        <w:t>二、</w:t>
      </w:r>
      <w:r>
        <w:rPr>
          <w:rFonts w:hint="eastAsia" w:ascii="方正小标宋简体" w:hAnsi="仿宋" w:eastAsia="方正小标宋简体" w:cs="Times New Roman"/>
          <w:sz w:val="32"/>
          <w:szCs w:val="32"/>
        </w:rPr>
        <w:t>最高限价（或项目预算）：230</w:t>
      </w:r>
      <w:r>
        <w:rPr>
          <w:rFonts w:hint="eastAsia" w:ascii="仿宋" w:hAnsi="仿宋" w:eastAsia="仿宋" w:cs="Times New Roman"/>
          <w:sz w:val="30"/>
          <w:szCs w:val="30"/>
        </w:rPr>
        <w:t>万元</w:t>
      </w:r>
    </w:p>
    <w:p>
      <w:pPr>
        <w:spacing w:line="560" w:lineRule="exact"/>
        <w:outlineLvl w:val="0"/>
        <w:rPr>
          <w:rFonts w:ascii="方正小标宋简体" w:hAnsi="仿宋" w:eastAsia="方正小标宋简体" w:cs="Times New Roman"/>
          <w:sz w:val="32"/>
          <w:szCs w:val="32"/>
        </w:rPr>
      </w:pPr>
      <w:r>
        <w:rPr>
          <w:rFonts w:hint="eastAsia" w:ascii="方正小标宋简体" w:hAnsi="仿宋" w:eastAsia="方正小标宋简体" w:cs="Times New Roman"/>
          <w:sz w:val="32"/>
          <w:szCs w:val="32"/>
        </w:rPr>
        <w:t>三、采购项目需求</w:t>
      </w:r>
    </w:p>
    <w:p>
      <w:pPr>
        <w:spacing w:line="560" w:lineRule="exact"/>
        <w:outlineLvl w:val="2"/>
        <w:rPr>
          <w:rFonts w:ascii="仿宋_GB2312" w:hAnsi="宋体" w:eastAsia="仿宋_GB2312" w:cs="Times New Roman"/>
          <w:b/>
          <w:bCs/>
          <w:kern w:val="0"/>
          <w:sz w:val="32"/>
          <w:szCs w:val="32"/>
        </w:rPr>
      </w:pPr>
      <w:r>
        <w:rPr>
          <w:rFonts w:hint="eastAsia" w:ascii="仿宋_GB2312" w:hAnsi="宋体" w:eastAsia="仿宋_GB2312" w:cs="Times New Roman"/>
          <w:b/>
          <w:bCs/>
          <w:kern w:val="0"/>
          <w:sz w:val="32"/>
          <w:szCs w:val="32"/>
        </w:rPr>
        <w:t>（一）技术要求</w:t>
      </w:r>
    </w:p>
    <w:p>
      <w:pPr>
        <w:spacing w:line="560" w:lineRule="exact"/>
        <w:ind w:firstLine="643" w:firstLineChars="200"/>
        <w:outlineLvl w:val="2"/>
        <w:rPr>
          <w:rFonts w:ascii="仿宋_GB2312" w:hAnsi="宋体" w:eastAsia="仿宋_GB2312" w:cs="Times New Roman"/>
          <w:b/>
          <w:bCs/>
          <w:kern w:val="0"/>
          <w:sz w:val="32"/>
          <w:szCs w:val="32"/>
        </w:rPr>
      </w:pPr>
      <w:r>
        <w:rPr>
          <w:rFonts w:hint="eastAsia" w:ascii="仿宋_GB2312" w:hAnsi="宋体" w:eastAsia="仿宋_GB2312" w:cs="Times New Roman"/>
          <w:b/>
          <w:bCs/>
          <w:kern w:val="0"/>
          <w:sz w:val="32"/>
          <w:szCs w:val="32"/>
        </w:rPr>
        <w:t>1.功能目标</w:t>
      </w:r>
    </w:p>
    <w:tbl>
      <w:tblPr>
        <w:tblStyle w:val="10"/>
        <w:tblW w:w="4972" w:type="pct"/>
        <w:tblInd w:w="0" w:type="dxa"/>
        <w:tblLayout w:type="fixed"/>
        <w:tblCellMar>
          <w:top w:w="0" w:type="dxa"/>
          <w:left w:w="108" w:type="dxa"/>
          <w:bottom w:w="0" w:type="dxa"/>
          <w:right w:w="108" w:type="dxa"/>
        </w:tblCellMar>
      </w:tblPr>
      <w:tblGrid>
        <w:gridCol w:w="437"/>
        <w:gridCol w:w="825"/>
        <w:gridCol w:w="6855"/>
        <w:gridCol w:w="892"/>
      </w:tblGrid>
      <w:tr>
        <w:tblPrEx>
          <w:tblCellMar>
            <w:top w:w="0" w:type="dxa"/>
            <w:left w:w="108" w:type="dxa"/>
            <w:bottom w:w="0" w:type="dxa"/>
            <w:right w:w="108" w:type="dxa"/>
          </w:tblCellMar>
        </w:tblPrEx>
        <w:trPr>
          <w:trHeight w:val="726" w:hRule="atLeast"/>
          <w:tblHeader/>
        </w:trPr>
        <w:tc>
          <w:tcPr>
            <w:tcW w:w="242" w:type="pct"/>
            <w:tcBorders>
              <w:top w:val="single" w:color="auto" w:sz="4" w:space="0"/>
              <w:left w:val="single" w:color="auto" w:sz="4" w:space="0"/>
              <w:bottom w:val="single" w:color="auto" w:sz="4" w:space="0"/>
              <w:right w:val="single" w:color="auto" w:sz="4" w:space="0"/>
            </w:tcBorders>
            <w:noWrap/>
            <w:vAlign w:val="center"/>
          </w:tcPr>
          <w:p>
            <w:pPr>
              <w:widowControl/>
              <w:spacing w:line="320" w:lineRule="exact"/>
              <w:rPr>
                <w:rFonts w:hint="eastAsia" w:ascii="仿宋_GB2312" w:hAnsi="仿宋_GB2312" w:eastAsia="仿宋_GB2312" w:cs="仿宋_GB2312"/>
                <w:b/>
                <w:bCs/>
                <w:kern w:val="0"/>
                <w:szCs w:val="21"/>
              </w:rPr>
            </w:pPr>
            <w:r>
              <w:rPr>
                <w:rFonts w:hint="eastAsia" w:ascii="仿宋_GB2312" w:hAnsi="仿宋_GB2312" w:eastAsia="仿宋_GB2312" w:cs="仿宋_GB2312"/>
                <w:b/>
                <w:bCs/>
                <w:kern w:val="0"/>
                <w:szCs w:val="21"/>
              </w:rPr>
              <w:t>序号</w:t>
            </w:r>
          </w:p>
        </w:tc>
        <w:tc>
          <w:tcPr>
            <w:tcW w:w="457" w:type="pct"/>
            <w:tcBorders>
              <w:top w:val="single" w:color="auto" w:sz="4" w:space="0"/>
              <w:left w:val="nil"/>
              <w:bottom w:val="single" w:color="auto" w:sz="4" w:space="0"/>
              <w:right w:val="single" w:color="auto" w:sz="4" w:space="0"/>
            </w:tcBorders>
            <w:noWrap/>
            <w:vAlign w:val="center"/>
          </w:tcPr>
          <w:p>
            <w:pPr>
              <w:widowControl/>
              <w:spacing w:line="320" w:lineRule="exact"/>
              <w:jc w:val="center"/>
              <w:rPr>
                <w:rFonts w:hint="eastAsia" w:ascii="仿宋_GB2312" w:hAnsi="仿宋_GB2312" w:eastAsia="仿宋_GB2312" w:cs="仿宋_GB2312"/>
                <w:b/>
                <w:bCs/>
                <w:kern w:val="0"/>
                <w:szCs w:val="21"/>
              </w:rPr>
            </w:pPr>
            <w:r>
              <w:rPr>
                <w:rFonts w:hint="eastAsia" w:ascii="仿宋_GB2312" w:hAnsi="仿宋_GB2312" w:eastAsia="仿宋_GB2312" w:cs="仿宋_GB2312"/>
                <w:b/>
                <w:bCs/>
                <w:kern w:val="0"/>
                <w:szCs w:val="21"/>
              </w:rPr>
              <w:t>项目名称</w:t>
            </w:r>
          </w:p>
        </w:tc>
        <w:tc>
          <w:tcPr>
            <w:tcW w:w="3804" w:type="pct"/>
            <w:tcBorders>
              <w:top w:val="single" w:color="auto" w:sz="4" w:space="0"/>
              <w:left w:val="nil"/>
              <w:bottom w:val="single" w:color="auto" w:sz="4" w:space="0"/>
              <w:right w:val="single" w:color="auto" w:sz="4" w:space="0"/>
            </w:tcBorders>
            <w:noWrap/>
            <w:vAlign w:val="center"/>
          </w:tcPr>
          <w:p>
            <w:pPr>
              <w:widowControl/>
              <w:spacing w:line="320" w:lineRule="exact"/>
              <w:jc w:val="center"/>
              <w:rPr>
                <w:rFonts w:hint="eastAsia" w:ascii="仿宋_GB2312" w:hAnsi="仿宋_GB2312" w:eastAsia="仿宋_GB2312" w:cs="仿宋_GB2312"/>
                <w:b/>
                <w:bCs/>
                <w:kern w:val="0"/>
                <w:szCs w:val="21"/>
              </w:rPr>
            </w:pPr>
            <w:r>
              <w:rPr>
                <w:rFonts w:hint="eastAsia" w:ascii="仿宋_GB2312" w:hAnsi="仿宋_GB2312" w:eastAsia="仿宋_GB2312" w:cs="仿宋_GB2312"/>
                <w:b/>
                <w:bCs/>
                <w:kern w:val="0"/>
                <w:szCs w:val="21"/>
              </w:rPr>
              <w:t>需要实现的功能或者目标</w:t>
            </w:r>
          </w:p>
        </w:tc>
        <w:tc>
          <w:tcPr>
            <w:tcW w:w="494" w:type="pct"/>
            <w:tcBorders>
              <w:top w:val="single" w:color="auto" w:sz="4" w:space="0"/>
              <w:left w:val="nil"/>
              <w:bottom w:val="single" w:color="auto" w:sz="4" w:space="0"/>
              <w:right w:val="single" w:color="auto" w:sz="4" w:space="0"/>
            </w:tcBorders>
            <w:noWrap/>
            <w:vAlign w:val="center"/>
          </w:tcPr>
          <w:p>
            <w:pPr>
              <w:widowControl/>
              <w:spacing w:line="320" w:lineRule="exact"/>
              <w:jc w:val="center"/>
              <w:rPr>
                <w:rFonts w:hint="eastAsia" w:ascii="仿宋_GB2312" w:hAnsi="仿宋_GB2312" w:eastAsia="仿宋_GB2312" w:cs="仿宋_GB2312"/>
                <w:b/>
                <w:bCs/>
                <w:kern w:val="0"/>
                <w:szCs w:val="21"/>
              </w:rPr>
            </w:pPr>
            <w:r>
              <w:rPr>
                <w:rFonts w:hint="eastAsia" w:ascii="仿宋_GB2312" w:hAnsi="仿宋_GB2312" w:eastAsia="仿宋_GB2312" w:cs="仿宋_GB2312"/>
                <w:b/>
                <w:bCs/>
                <w:kern w:val="0"/>
                <w:szCs w:val="21"/>
              </w:rPr>
              <w:t>备注</w:t>
            </w:r>
          </w:p>
        </w:tc>
      </w:tr>
      <w:tr>
        <w:tblPrEx>
          <w:tblCellMar>
            <w:top w:w="0" w:type="dxa"/>
            <w:left w:w="108" w:type="dxa"/>
            <w:bottom w:w="0" w:type="dxa"/>
            <w:right w:w="108" w:type="dxa"/>
          </w:tblCellMar>
        </w:tblPrEx>
        <w:trPr>
          <w:trHeight w:val="3909" w:hRule="atLeast"/>
        </w:trPr>
        <w:tc>
          <w:tcPr>
            <w:tcW w:w="242" w:type="pct"/>
            <w:tcBorders>
              <w:top w:val="single" w:color="auto" w:sz="4" w:space="0"/>
              <w:left w:val="single" w:color="auto" w:sz="4" w:space="0"/>
              <w:bottom w:val="single" w:color="auto" w:sz="4" w:space="0"/>
              <w:right w:val="single" w:color="auto" w:sz="4" w:space="0"/>
            </w:tcBorders>
            <w:noWrap/>
            <w:vAlign w:val="center"/>
          </w:tcPr>
          <w:p>
            <w:pPr>
              <w:pBdr>
                <w:top w:val="none" w:color="auto" w:sz="0" w:space="1"/>
                <w:left w:val="none" w:color="auto" w:sz="0" w:space="4"/>
                <w:bottom w:val="none" w:color="auto" w:sz="0" w:space="1"/>
                <w:right w:val="none" w:color="auto" w:sz="0" w:space="4"/>
              </w:pBdr>
              <w:spacing w:line="320" w:lineRule="exact"/>
              <w:ind w:firstLine="420" w:firstLineChars="200"/>
              <w:jc w:val="center"/>
              <w:rPr>
                <w:rFonts w:hint="eastAsia" w:ascii="仿宋_GB2312" w:hAnsi="仿宋_GB2312" w:eastAsia="仿宋_GB2312" w:cs="仿宋_GB2312"/>
                <w:szCs w:val="21"/>
              </w:rPr>
            </w:pPr>
            <w:r>
              <w:rPr>
                <w:rFonts w:hint="eastAsia" w:ascii="仿宋_GB2312" w:hAnsi="仿宋_GB2312" w:eastAsia="仿宋_GB2312" w:cs="仿宋_GB2312"/>
                <w:szCs w:val="21"/>
              </w:rPr>
              <w:t>11</w:t>
            </w:r>
          </w:p>
        </w:tc>
        <w:tc>
          <w:tcPr>
            <w:tcW w:w="457" w:type="pct"/>
            <w:tcBorders>
              <w:top w:val="single" w:color="auto" w:sz="4" w:space="0"/>
              <w:left w:val="nil"/>
              <w:bottom w:val="single" w:color="auto" w:sz="4" w:space="0"/>
              <w:right w:val="single" w:color="auto" w:sz="4" w:space="0"/>
            </w:tcBorders>
            <w:noWrap/>
            <w:vAlign w:val="center"/>
          </w:tcPr>
          <w:p>
            <w:pPr>
              <w:pBdr>
                <w:top w:val="none" w:color="auto" w:sz="0" w:space="1"/>
                <w:left w:val="none" w:color="auto" w:sz="0" w:space="4"/>
                <w:bottom w:val="none" w:color="auto" w:sz="0" w:space="1"/>
                <w:right w:val="none" w:color="auto" w:sz="0" w:space="4"/>
              </w:pBdr>
              <w:spacing w:line="32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医学虚拟仿真实验教学系统</w:t>
            </w:r>
          </w:p>
        </w:tc>
        <w:tc>
          <w:tcPr>
            <w:tcW w:w="3804" w:type="pct"/>
            <w:tcBorders>
              <w:top w:val="single" w:color="auto" w:sz="4" w:space="0"/>
              <w:left w:val="nil"/>
              <w:bottom w:val="single" w:color="auto" w:sz="4" w:space="0"/>
              <w:right w:val="single" w:color="auto" w:sz="4" w:space="0"/>
            </w:tcBorders>
            <w:noWrap/>
            <w:vAlign w:val="center"/>
          </w:tcPr>
          <w:p>
            <w:pPr>
              <w:pBdr>
                <w:top w:val="none" w:color="auto" w:sz="0" w:space="1"/>
                <w:left w:val="none" w:color="auto" w:sz="0" w:space="4"/>
                <w:bottom w:val="none" w:color="auto" w:sz="0" w:space="1"/>
                <w:right w:val="none" w:color="auto" w:sz="0" w:space="4"/>
              </w:pBdr>
              <w:spacing w:line="320" w:lineRule="exact"/>
              <w:rPr>
                <w:rFonts w:hint="eastAsia" w:ascii="仿宋_GB2312" w:hAnsi="仿宋_GB2312" w:eastAsia="仿宋_GB2312" w:cs="仿宋_GB2312"/>
                <w:b/>
                <w:bCs/>
                <w:szCs w:val="21"/>
              </w:rPr>
            </w:pPr>
            <w:r>
              <w:rPr>
                <w:rFonts w:hint="eastAsia" w:ascii="仿宋_GB2312" w:hAnsi="仿宋_GB2312" w:eastAsia="仿宋_GB2312" w:cs="仿宋_GB2312"/>
                <w:b/>
                <w:bCs/>
                <w:szCs w:val="21"/>
              </w:rPr>
              <w:t>1.</w:t>
            </w:r>
            <w:r>
              <w:rPr>
                <w:rFonts w:hint="eastAsia" w:ascii="仿宋_GB2312" w:hAnsi="仿宋_GB2312" w:eastAsia="仿宋_GB2312" w:cs="仿宋_GB2312"/>
                <w:b/>
                <w:bCs/>
                <w:szCs w:val="21"/>
                <w:lang w:val="en-US" w:eastAsia="zh-CN"/>
              </w:rPr>
              <w:t>总体目标。</w:t>
            </w:r>
            <w:r>
              <w:rPr>
                <w:rFonts w:hint="eastAsia" w:ascii="仿宋_GB2312" w:hAnsi="仿宋_GB2312" w:eastAsia="仿宋_GB2312" w:cs="仿宋_GB2312"/>
                <w:b w:val="0"/>
                <w:bCs w:val="0"/>
                <w:szCs w:val="21"/>
              </w:rPr>
              <w:t>基于大学现有平台所承接的虚拟仿真课程资源少，智能化、信息化实验场所建设不足的情况，对现有平台进行资源升级，补充线上医学虚拟仿真实验教学资源、VR沉浸式虚拟仿真系统课程资源，新建AR增强现实沉浸式虚拟仿真实验教学系统及实验资源。</w:t>
            </w:r>
          </w:p>
          <w:p>
            <w:pPr>
              <w:pBdr>
                <w:top w:val="none" w:color="auto" w:sz="0" w:space="1"/>
                <w:left w:val="none" w:color="auto" w:sz="0" w:space="4"/>
                <w:bottom w:val="none" w:color="auto" w:sz="0" w:space="1"/>
                <w:right w:val="none" w:color="auto" w:sz="0" w:space="4"/>
              </w:pBdr>
              <w:spacing w:line="320" w:lineRule="exact"/>
              <w:rPr>
                <w:rFonts w:hint="eastAsia" w:ascii="仿宋_GB2312" w:hAnsi="仿宋_GB2312" w:eastAsia="仿宋_GB2312" w:cs="仿宋_GB2312"/>
                <w:szCs w:val="21"/>
              </w:rPr>
            </w:pPr>
            <w:r>
              <w:rPr>
                <w:rFonts w:hint="eastAsia" w:ascii="仿宋_GB2312" w:hAnsi="仿宋_GB2312" w:eastAsia="仿宋_GB2312" w:cs="仿宋_GB2312"/>
                <w:b/>
                <w:bCs/>
                <w:szCs w:val="21"/>
                <w:lang w:val="en-US" w:eastAsia="zh-CN"/>
              </w:rPr>
              <w:t>2.教学目标。</w:t>
            </w:r>
            <w:r>
              <w:rPr>
                <w:rFonts w:hint="eastAsia" w:ascii="仿宋_GB2312" w:hAnsi="仿宋_GB2312" w:eastAsia="仿宋_GB2312" w:cs="仿宋_GB2312"/>
                <w:b w:val="0"/>
                <w:bCs w:val="0"/>
                <w:szCs w:val="21"/>
              </w:rPr>
              <w:t>该项目可满足医学免疫学、医学遗传学、组织胚胎学、细胞生物学等基础医学学科的虚拟实验教学需求以及药理学、病理生理学等专业的基础临床综合实验教学需求。形成以基础医学为主的“大基础”实验教学体系和专业性的“大医学”实验教学模式，完善基础医学虚拟仿真实验教学中心平台。</w:t>
            </w:r>
          </w:p>
        </w:tc>
        <w:tc>
          <w:tcPr>
            <w:tcW w:w="494" w:type="pct"/>
            <w:tcBorders>
              <w:top w:val="single" w:color="auto" w:sz="4" w:space="0"/>
              <w:left w:val="nil"/>
              <w:bottom w:val="single" w:color="auto" w:sz="4" w:space="0"/>
              <w:right w:val="single" w:color="auto" w:sz="4" w:space="0"/>
            </w:tcBorders>
            <w:noWrap/>
            <w:vAlign w:val="center"/>
          </w:tcPr>
          <w:p>
            <w:pPr>
              <w:widowControl/>
              <w:spacing w:line="320" w:lineRule="exact"/>
              <w:jc w:val="left"/>
              <w:rPr>
                <w:rFonts w:hint="eastAsia" w:ascii="仿宋_GB2312" w:hAnsi="仿宋_GB2312" w:eastAsia="仿宋_GB2312" w:cs="仿宋_GB2312"/>
                <w:kern w:val="0"/>
                <w:szCs w:val="21"/>
              </w:rPr>
            </w:pPr>
          </w:p>
        </w:tc>
      </w:tr>
    </w:tbl>
    <w:p>
      <w:pPr>
        <w:pStyle w:val="23"/>
        <w:ind w:firstLine="640"/>
        <w:rPr>
          <w:rFonts w:hint="eastAsia"/>
          <w:sz w:val="32"/>
          <w:szCs w:val="32"/>
        </w:rPr>
      </w:pPr>
    </w:p>
    <w:p>
      <w:pPr>
        <w:overflowPunct w:val="0"/>
        <w:spacing w:line="572" w:lineRule="exact"/>
        <w:ind w:firstLine="643" w:firstLineChars="200"/>
        <w:rPr>
          <w:rFonts w:ascii="仿宋_GB2312" w:hAnsi="仿宋" w:eastAsia="仿宋_GB2312" w:cs="Times New Roman"/>
          <w:b/>
          <w:bCs/>
          <w:sz w:val="32"/>
          <w:szCs w:val="32"/>
        </w:rPr>
      </w:pPr>
      <w:r>
        <w:rPr>
          <w:rFonts w:hint="eastAsia" w:ascii="仿宋_GB2312" w:hAnsi="仿宋" w:eastAsia="仿宋_GB2312" w:cs="Times New Roman"/>
          <w:b/>
          <w:bCs/>
          <w:sz w:val="32"/>
          <w:szCs w:val="32"/>
        </w:rPr>
        <w:t>2.适用标准</w:t>
      </w:r>
    </w:p>
    <w:tbl>
      <w:tblPr>
        <w:tblStyle w:val="10"/>
        <w:tblW w:w="5000" w:type="pct"/>
        <w:tblInd w:w="0" w:type="dxa"/>
        <w:tblLayout w:type="fixed"/>
        <w:tblCellMar>
          <w:top w:w="0" w:type="dxa"/>
          <w:left w:w="108" w:type="dxa"/>
          <w:bottom w:w="0" w:type="dxa"/>
          <w:right w:w="108" w:type="dxa"/>
        </w:tblCellMar>
      </w:tblPr>
      <w:tblGrid>
        <w:gridCol w:w="438"/>
        <w:gridCol w:w="828"/>
        <w:gridCol w:w="959"/>
        <w:gridCol w:w="1385"/>
        <w:gridCol w:w="1187"/>
        <w:gridCol w:w="1790"/>
        <w:gridCol w:w="1718"/>
        <w:gridCol w:w="756"/>
      </w:tblGrid>
      <w:tr>
        <w:tblPrEx>
          <w:tblCellMar>
            <w:top w:w="0" w:type="dxa"/>
            <w:left w:w="108" w:type="dxa"/>
            <w:bottom w:w="0" w:type="dxa"/>
            <w:right w:w="108" w:type="dxa"/>
          </w:tblCellMar>
        </w:tblPrEx>
        <w:trPr>
          <w:trHeight w:val="836" w:hRule="atLeast"/>
          <w:tblHeader/>
        </w:trPr>
        <w:tc>
          <w:tcPr>
            <w:tcW w:w="241" w:type="pct"/>
            <w:tcBorders>
              <w:top w:val="single" w:color="auto" w:sz="4" w:space="0"/>
              <w:left w:val="single" w:color="auto" w:sz="4" w:space="0"/>
              <w:bottom w:val="single" w:color="auto" w:sz="4" w:space="0"/>
              <w:right w:val="single" w:color="auto" w:sz="4" w:space="0"/>
            </w:tcBorders>
            <w:noWrap/>
            <w:vAlign w:val="center"/>
          </w:tcPr>
          <w:p>
            <w:pPr>
              <w:widowControl/>
              <w:spacing w:line="320" w:lineRule="exact"/>
              <w:rPr>
                <w:rFonts w:ascii="仿宋_GB2312" w:hAnsi="仿宋_GB2312" w:eastAsia="仿宋_GB2312" w:cs="仿宋_GB2312"/>
                <w:b/>
                <w:bCs/>
                <w:kern w:val="0"/>
                <w:szCs w:val="21"/>
              </w:rPr>
            </w:pPr>
            <w:r>
              <w:rPr>
                <w:rFonts w:hint="eastAsia" w:ascii="仿宋_GB2312" w:hAnsi="仿宋_GB2312" w:eastAsia="仿宋_GB2312" w:cs="仿宋_GB2312"/>
                <w:b/>
                <w:bCs/>
                <w:kern w:val="0"/>
                <w:szCs w:val="21"/>
              </w:rPr>
              <w:t>序号</w:t>
            </w:r>
          </w:p>
        </w:tc>
        <w:tc>
          <w:tcPr>
            <w:tcW w:w="456" w:type="pct"/>
            <w:tcBorders>
              <w:top w:val="single" w:color="auto" w:sz="4" w:space="0"/>
              <w:left w:val="nil"/>
              <w:bottom w:val="single" w:color="auto" w:sz="4" w:space="0"/>
              <w:right w:val="single" w:color="auto" w:sz="4" w:space="0"/>
            </w:tcBorders>
            <w:noWrap/>
            <w:vAlign w:val="center"/>
          </w:tcPr>
          <w:p>
            <w:pPr>
              <w:widowControl/>
              <w:spacing w:line="320" w:lineRule="exact"/>
              <w:jc w:val="center"/>
              <w:rPr>
                <w:rFonts w:ascii="仿宋_GB2312" w:hAnsi="仿宋_GB2312" w:eastAsia="仿宋_GB2312" w:cs="仿宋_GB2312"/>
                <w:b/>
                <w:bCs/>
                <w:kern w:val="0"/>
                <w:szCs w:val="21"/>
              </w:rPr>
            </w:pPr>
            <w:r>
              <w:rPr>
                <w:rFonts w:hint="eastAsia" w:ascii="仿宋_GB2312" w:hAnsi="仿宋_GB2312" w:eastAsia="仿宋_GB2312" w:cs="仿宋_GB2312"/>
                <w:b/>
                <w:bCs/>
                <w:kern w:val="0"/>
                <w:szCs w:val="21"/>
              </w:rPr>
              <w:t>标准号</w:t>
            </w:r>
          </w:p>
        </w:tc>
        <w:tc>
          <w:tcPr>
            <w:tcW w:w="529" w:type="pct"/>
            <w:tcBorders>
              <w:top w:val="single" w:color="auto" w:sz="4" w:space="0"/>
              <w:left w:val="nil"/>
              <w:bottom w:val="single" w:color="auto" w:sz="4" w:space="0"/>
              <w:right w:val="single" w:color="auto" w:sz="4" w:space="0"/>
            </w:tcBorders>
            <w:noWrap/>
            <w:vAlign w:val="center"/>
          </w:tcPr>
          <w:p>
            <w:pPr>
              <w:widowControl/>
              <w:spacing w:line="320" w:lineRule="exact"/>
              <w:jc w:val="center"/>
              <w:rPr>
                <w:rFonts w:ascii="仿宋_GB2312" w:hAnsi="仿宋_GB2312" w:eastAsia="仿宋_GB2312" w:cs="仿宋_GB2312"/>
                <w:b/>
                <w:bCs/>
                <w:kern w:val="0"/>
                <w:szCs w:val="21"/>
              </w:rPr>
            </w:pPr>
            <w:r>
              <w:rPr>
                <w:rFonts w:hint="eastAsia" w:ascii="仿宋_GB2312" w:hAnsi="仿宋_GB2312" w:eastAsia="仿宋_GB2312" w:cs="仿宋_GB2312"/>
                <w:b/>
                <w:bCs/>
                <w:kern w:val="0"/>
                <w:szCs w:val="21"/>
              </w:rPr>
              <w:t>标准</w:t>
            </w:r>
          </w:p>
          <w:p>
            <w:pPr>
              <w:widowControl/>
              <w:spacing w:line="320" w:lineRule="exact"/>
              <w:jc w:val="center"/>
              <w:rPr>
                <w:rFonts w:ascii="仿宋_GB2312" w:hAnsi="仿宋_GB2312" w:eastAsia="仿宋_GB2312" w:cs="仿宋_GB2312"/>
                <w:b/>
                <w:bCs/>
                <w:kern w:val="0"/>
                <w:szCs w:val="21"/>
              </w:rPr>
            </w:pPr>
            <w:r>
              <w:rPr>
                <w:rFonts w:hint="eastAsia" w:ascii="仿宋_GB2312" w:hAnsi="仿宋_GB2312" w:eastAsia="仿宋_GB2312" w:cs="仿宋_GB2312"/>
                <w:b/>
                <w:bCs/>
                <w:kern w:val="0"/>
                <w:szCs w:val="21"/>
              </w:rPr>
              <w:t>名称</w:t>
            </w:r>
          </w:p>
        </w:tc>
        <w:tc>
          <w:tcPr>
            <w:tcW w:w="764" w:type="pct"/>
            <w:tcBorders>
              <w:top w:val="single" w:color="auto" w:sz="4" w:space="0"/>
              <w:left w:val="nil"/>
              <w:bottom w:val="single" w:color="auto" w:sz="4" w:space="0"/>
              <w:right w:val="single" w:color="auto" w:sz="4" w:space="0"/>
            </w:tcBorders>
            <w:noWrap/>
            <w:vAlign w:val="center"/>
          </w:tcPr>
          <w:p>
            <w:pPr>
              <w:widowControl/>
              <w:spacing w:line="320" w:lineRule="exact"/>
              <w:jc w:val="center"/>
              <w:rPr>
                <w:rFonts w:ascii="仿宋_GB2312" w:hAnsi="仿宋_GB2312" w:eastAsia="仿宋_GB2312" w:cs="仿宋_GB2312"/>
                <w:b/>
                <w:bCs/>
                <w:kern w:val="0"/>
                <w:szCs w:val="21"/>
              </w:rPr>
            </w:pPr>
            <w:r>
              <w:rPr>
                <w:rFonts w:hint="eastAsia" w:ascii="仿宋_GB2312" w:hAnsi="仿宋_GB2312" w:eastAsia="仿宋_GB2312" w:cs="仿宋_GB2312"/>
                <w:b/>
                <w:bCs/>
                <w:kern w:val="0"/>
                <w:szCs w:val="21"/>
              </w:rPr>
              <w:t>标准级别</w:t>
            </w:r>
          </w:p>
        </w:tc>
        <w:tc>
          <w:tcPr>
            <w:tcW w:w="655" w:type="pct"/>
            <w:tcBorders>
              <w:top w:val="single" w:color="auto" w:sz="4" w:space="0"/>
              <w:left w:val="nil"/>
              <w:bottom w:val="single" w:color="auto" w:sz="4" w:space="0"/>
              <w:right w:val="single" w:color="auto" w:sz="4" w:space="0"/>
            </w:tcBorders>
            <w:noWrap/>
            <w:vAlign w:val="center"/>
          </w:tcPr>
          <w:p>
            <w:pPr>
              <w:widowControl/>
              <w:spacing w:line="320" w:lineRule="exact"/>
              <w:jc w:val="center"/>
              <w:rPr>
                <w:rFonts w:ascii="仿宋_GB2312" w:hAnsi="仿宋_GB2312" w:eastAsia="仿宋_GB2312" w:cs="仿宋_GB2312"/>
                <w:b/>
                <w:bCs/>
                <w:kern w:val="0"/>
                <w:szCs w:val="21"/>
              </w:rPr>
            </w:pPr>
            <w:r>
              <w:rPr>
                <w:rFonts w:hint="eastAsia" w:ascii="仿宋_GB2312" w:hAnsi="仿宋_GB2312" w:eastAsia="仿宋_GB2312" w:cs="仿宋_GB2312"/>
                <w:b/>
                <w:bCs/>
                <w:kern w:val="0"/>
                <w:szCs w:val="21"/>
              </w:rPr>
              <w:t>标准性质</w:t>
            </w:r>
          </w:p>
        </w:tc>
        <w:tc>
          <w:tcPr>
            <w:tcW w:w="987" w:type="pct"/>
            <w:tcBorders>
              <w:top w:val="single" w:color="auto" w:sz="4" w:space="0"/>
              <w:left w:val="nil"/>
              <w:bottom w:val="single" w:color="auto" w:sz="4" w:space="0"/>
              <w:right w:val="single" w:color="auto" w:sz="4" w:space="0"/>
            </w:tcBorders>
            <w:noWrap/>
            <w:vAlign w:val="center"/>
          </w:tcPr>
          <w:p>
            <w:pPr>
              <w:widowControl/>
              <w:spacing w:line="320" w:lineRule="exact"/>
              <w:jc w:val="center"/>
              <w:rPr>
                <w:rFonts w:ascii="仿宋_GB2312" w:hAnsi="仿宋_GB2312" w:eastAsia="仿宋_GB2312" w:cs="仿宋_GB2312"/>
                <w:b/>
                <w:bCs/>
                <w:kern w:val="0"/>
                <w:szCs w:val="21"/>
              </w:rPr>
            </w:pPr>
            <w:r>
              <w:rPr>
                <w:rFonts w:hint="eastAsia" w:ascii="仿宋_GB2312" w:hAnsi="仿宋_GB2312" w:eastAsia="仿宋_GB2312" w:cs="仿宋_GB2312"/>
                <w:b/>
                <w:bCs/>
                <w:kern w:val="0"/>
                <w:szCs w:val="21"/>
              </w:rPr>
              <w:t>适用范围</w:t>
            </w:r>
          </w:p>
        </w:tc>
        <w:tc>
          <w:tcPr>
            <w:tcW w:w="948" w:type="pct"/>
            <w:tcBorders>
              <w:top w:val="single" w:color="auto" w:sz="4" w:space="0"/>
              <w:left w:val="nil"/>
              <w:bottom w:val="single" w:color="auto" w:sz="4" w:space="0"/>
              <w:right w:val="single" w:color="auto" w:sz="4" w:space="0"/>
            </w:tcBorders>
            <w:noWrap/>
            <w:vAlign w:val="center"/>
          </w:tcPr>
          <w:p>
            <w:pPr>
              <w:widowControl/>
              <w:spacing w:line="320" w:lineRule="exact"/>
              <w:jc w:val="center"/>
              <w:rPr>
                <w:rFonts w:ascii="仿宋_GB2312" w:hAnsi="仿宋_GB2312" w:eastAsia="仿宋_GB2312" w:cs="仿宋_GB2312"/>
                <w:b/>
                <w:bCs/>
                <w:kern w:val="0"/>
                <w:szCs w:val="21"/>
              </w:rPr>
            </w:pPr>
            <w:r>
              <w:rPr>
                <w:rFonts w:hint="eastAsia" w:ascii="仿宋_GB2312" w:hAnsi="仿宋_GB2312" w:eastAsia="仿宋_GB2312" w:cs="仿宋_GB2312"/>
                <w:b/>
                <w:bCs/>
                <w:kern w:val="0"/>
                <w:szCs w:val="21"/>
              </w:rPr>
              <w:t>代码含义</w:t>
            </w:r>
          </w:p>
        </w:tc>
        <w:tc>
          <w:tcPr>
            <w:tcW w:w="417" w:type="pct"/>
            <w:tcBorders>
              <w:top w:val="single" w:color="auto" w:sz="4" w:space="0"/>
              <w:left w:val="nil"/>
              <w:bottom w:val="single" w:color="auto" w:sz="4" w:space="0"/>
              <w:right w:val="single" w:color="auto" w:sz="4" w:space="0"/>
            </w:tcBorders>
            <w:noWrap/>
            <w:vAlign w:val="center"/>
          </w:tcPr>
          <w:p>
            <w:pPr>
              <w:widowControl/>
              <w:spacing w:line="320" w:lineRule="exact"/>
              <w:jc w:val="center"/>
              <w:rPr>
                <w:rFonts w:ascii="仿宋_GB2312" w:hAnsi="仿宋_GB2312" w:eastAsia="仿宋_GB2312" w:cs="仿宋_GB2312"/>
                <w:b/>
                <w:bCs/>
                <w:kern w:val="0"/>
                <w:szCs w:val="21"/>
              </w:rPr>
            </w:pPr>
            <w:r>
              <w:rPr>
                <w:rFonts w:hint="eastAsia" w:ascii="仿宋_GB2312" w:hAnsi="仿宋_GB2312" w:eastAsia="仿宋_GB2312" w:cs="仿宋_GB2312"/>
                <w:b/>
                <w:bCs/>
                <w:kern w:val="0"/>
                <w:szCs w:val="21"/>
              </w:rPr>
              <w:t>其他</w:t>
            </w:r>
          </w:p>
        </w:tc>
      </w:tr>
      <w:tr>
        <w:tblPrEx>
          <w:tblCellMar>
            <w:top w:w="0" w:type="dxa"/>
            <w:left w:w="108" w:type="dxa"/>
            <w:bottom w:w="0" w:type="dxa"/>
            <w:right w:w="108" w:type="dxa"/>
          </w:tblCellMar>
        </w:tblPrEx>
        <w:trPr>
          <w:trHeight w:val="2610" w:hRule="atLeast"/>
        </w:trPr>
        <w:tc>
          <w:tcPr>
            <w:tcW w:w="241" w:type="pct"/>
            <w:tcBorders>
              <w:top w:val="single" w:color="auto" w:sz="4" w:space="0"/>
              <w:left w:val="single" w:color="auto" w:sz="4" w:space="0"/>
              <w:bottom w:val="single" w:color="auto" w:sz="4" w:space="0"/>
              <w:right w:val="single" w:color="auto" w:sz="4" w:space="0"/>
            </w:tcBorders>
            <w:noWrap/>
            <w:vAlign w:val="center"/>
          </w:tcPr>
          <w:p>
            <w:pPr>
              <w:widowControl/>
              <w:spacing w:line="32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w:t>
            </w:r>
          </w:p>
        </w:tc>
        <w:tc>
          <w:tcPr>
            <w:tcW w:w="456" w:type="pct"/>
            <w:tcBorders>
              <w:top w:val="single" w:color="auto" w:sz="4" w:space="0"/>
              <w:left w:val="nil"/>
              <w:bottom w:val="single" w:color="auto" w:sz="4" w:space="0"/>
              <w:right w:val="single" w:color="auto" w:sz="4" w:space="0"/>
            </w:tcBorders>
            <w:noWrap/>
            <w:vAlign w:val="center"/>
          </w:tcPr>
          <w:p>
            <w:pPr>
              <w:widowControl/>
              <w:spacing w:line="320" w:lineRule="exact"/>
              <w:jc w:val="center"/>
              <w:rPr>
                <w:rFonts w:hint="default"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rPr>
              <w:t>GB/T19001-2000 IDT ISO9001</w:t>
            </w:r>
            <w:r>
              <w:rPr>
                <w:rFonts w:hint="eastAsia" w:ascii="仿宋_GB2312" w:hAnsi="仿宋_GB2312" w:eastAsia="仿宋_GB2312" w:cs="仿宋_GB2312"/>
                <w:kern w:val="0"/>
                <w:szCs w:val="21"/>
                <w:lang w:val="en-US" w:eastAsia="zh-CN"/>
              </w:rPr>
              <w:t>:</w:t>
            </w:r>
            <w:r>
              <w:rPr>
                <w:rFonts w:hint="eastAsia" w:ascii="仿宋_GB2312" w:hAnsi="仿宋_GB2312" w:eastAsia="仿宋_GB2312" w:cs="仿宋_GB2312"/>
                <w:kern w:val="0"/>
                <w:szCs w:val="21"/>
              </w:rPr>
              <w:t>2000</w:t>
            </w:r>
          </w:p>
        </w:tc>
        <w:tc>
          <w:tcPr>
            <w:tcW w:w="529" w:type="pct"/>
            <w:tcBorders>
              <w:top w:val="single" w:color="auto" w:sz="4" w:space="0"/>
              <w:left w:val="nil"/>
              <w:bottom w:val="single" w:color="auto" w:sz="4" w:space="0"/>
              <w:right w:val="single" w:color="auto" w:sz="4" w:space="0"/>
            </w:tcBorders>
            <w:noWrap/>
            <w:vAlign w:val="center"/>
          </w:tcPr>
          <w:p>
            <w:pPr>
              <w:widowControl/>
              <w:spacing w:line="320" w:lineRule="exact"/>
              <w:jc w:val="center"/>
              <w:rPr>
                <w:rFonts w:hint="default"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质量管理体系 要求</w:t>
            </w:r>
          </w:p>
        </w:tc>
        <w:tc>
          <w:tcPr>
            <w:tcW w:w="764" w:type="pct"/>
            <w:tcBorders>
              <w:top w:val="single" w:color="auto" w:sz="4" w:space="0"/>
              <w:left w:val="nil"/>
              <w:bottom w:val="single" w:color="auto" w:sz="4" w:space="0"/>
              <w:right w:val="single" w:color="auto" w:sz="4" w:space="0"/>
            </w:tcBorders>
            <w:noWrap/>
            <w:vAlign w:val="center"/>
          </w:tcPr>
          <w:p>
            <w:pPr>
              <w:widowControl/>
              <w:spacing w:line="320" w:lineRule="exact"/>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国家标准☑</w:t>
            </w:r>
          </w:p>
          <w:p>
            <w:pPr>
              <w:widowControl/>
              <w:spacing w:line="32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军用标准☐</w:t>
            </w:r>
            <w:r>
              <w:rPr>
                <w:rFonts w:hint="eastAsia" w:ascii="仿宋_GB2312" w:hAnsi="仿宋_GB2312" w:eastAsia="仿宋_GB2312" w:cs="仿宋_GB2312"/>
                <w:kern w:val="0"/>
                <w:szCs w:val="21"/>
              </w:rPr>
              <w:br w:type="textWrapping"/>
            </w:r>
            <w:r>
              <w:rPr>
                <w:rFonts w:hint="eastAsia" w:ascii="仿宋_GB2312" w:hAnsi="仿宋_GB2312" w:eastAsia="仿宋_GB2312" w:cs="仿宋_GB2312"/>
                <w:kern w:val="0"/>
                <w:szCs w:val="21"/>
              </w:rPr>
              <w:t>行业标准☐</w:t>
            </w:r>
            <w:r>
              <w:rPr>
                <w:rFonts w:hint="eastAsia" w:ascii="仿宋_GB2312" w:hAnsi="仿宋_GB2312" w:eastAsia="仿宋_GB2312" w:cs="仿宋_GB2312"/>
                <w:kern w:val="0"/>
                <w:szCs w:val="21"/>
              </w:rPr>
              <w:br w:type="textWrapping"/>
            </w:r>
            <w:r>
              <w:rPr>
                <w:rFonts w:hint="eastAsia" w:ascii="仿宋_GB2312" w:hAnsi="仿宋_GB2312" w:eastAsia="仿宋_GB2312" w:cs="仿宋_GB2312"/>
                <w:kern w:val="0"/>
                <w:szCs w:val="21"/>
              </w:rPr>
              <w:t>地方标准及其他标准规范      ☐</w:t>
            </w:r>
          </w:p>
        </w:tc>
        <w:tc>
          <w:tcPr>
            <w:tcW w:w="655" w:type="pct"/>
            <w:tcBorders>
              <w:top w:val="single" w:color="auto" w:sz="4" w:space="0"/>
              <w:left w:val="nil"/>
              <w:bottom w:val="single" w:color="auto" w:sz="4" w:space="0"/>
              <w:right w:val="single" w:color="auto" w:sz="4" w:space="0"/>
            </w:tcBorders>
            <w:noWrap/>
            <w:vAlign w:val="center"/>
          </w:tcPr>
          <w:p>
            <w:pPr>
              <w:widowControl/>
              <w:spacing w:line="320" w:lineRule="exact"/>
              <w:jc w:val="center"/>
              <w:rPr>
                <w:rFonts w:hint="eastAsia" w:ascii="仿宋_GB2312" w:hAnsi="仿宋_GB2312" w:eastAsia="仿宋_GB2312" w:cs="仿宋_GB2312"/>
                <w:kern w:val="0"/>
                <w:szCs w:val="21"/>
                <w:lang w:eastAsia="zh-CN"/>
              </w:rPr>
            </w:pPr>
            <w:r>
              <w:rPr>
                <w:rFonts w:hint="eastAsia" w:ascii="仿宋_GB2312" w:hAnsi="仿宋_GB2312" w:eastAsia="仿宋_GB2312" w:cs="仿宋_GB2312"/>
                <w:kern w:val="0"/>
                <w:szCs w:val="21"/>
              </w:rPr>
              <w:t>强制性</w:t>
            </w:r>
            <w:r>
              <w:rPr>
                <w:rFonts w:hint="eastAsia" w:ascii="仿宋_GB2312" w:hAnsi="仿宋_GB2312" w:eastAsia="仿宋_GB2312" w:cs="仿宋_GB2312"/>
                <w:kern w:val="0"/>
                <w:szCs w:val="21"/>
                <w:lang w:eastAsia="zh-CN"/>
              </w:rPr>
              <w:t>□</w:t>
            </w:r>
            <w:r>
              <w:rPr>
                <w:rFonts w:hint="eastAsia" w:ascii="仿宋_GB2312" w:hAnsi="仿宋_GB2312" w:eastAsia="仿宋_GB2312" w:cs="仿宋_GB2312"/>
                <w:kern w:val="0"/>
                <w:szCs w:val="21"/>
              </w:rPr>
              <w:br w:type="textWrapping"/>
            </w:r>
            <w:r>
              <w:rPr>
                <w:rFonts w:hint="eastAsia" w:ascii="仿宋_GB2312" w:hAnsi="仿宋_GB2312" w:eastAsia="仿宋_GB2312" w:cs="仿宋_GB2312"/>
                <w:kern w:val="0"/>
                <w:szCs w:val="21"/>
              </w:rPr>
              <w:t>推荐性</w:t>
            </w:r>
            <w:r>
              <w:rPr>
                <w:rFonts w:hint="eastAsia" w:ascii="仿宋_GB2312" w:hAnsi="仿宋_GB2312" w:eastAsia="仿宋_GB2312" w:cs="仿宋_GB2312"/>
                <w:kern w:val="0"/>
                <w:szCs w:val="21"/>
                <w:lang w:eastAsia="zh-CN"/>
              </w:rPr>
              <w:t>☑</w:t>
            </w:r>
          </w:p>
        </w:tc>
        <w:tc>
          <w:tcPr>
            <w:tcW w:w="987" w:type="pct"/>
            <w:tcBorders>
              <w:top w:val="single" w:color="auto" w:sz="4" w:space="0"/>
              <w:left w:val="nil"/>
              <w:bottom w:val="single" w:color="auto" w:sz="4" w:space="0"/>
              <w:right w:val="single" w:color="auto" w:sz="4" w:space="0"/>
            </w:tcBorders>
            <w:noWrap/>
            <w:vAlign w:val="center"/>
          </w:tcPr>
          <w:p>
            <w:pPr>
              <w:widowControl/>
              <w:spacing w:line="320" w:lineRule="exact"/>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该标准为下列组织规定了质量管理体系要求：</w:t>
            </w:r>
          </w:p>
          <w:p>
            <w:pPr>
              <w:widowControl/>
              <w:spacing w:line="320" w:lineRule="exact"/>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a）需要证实其具有稳定提供满足顾客要求及适用法律法规要求的产品和服务的能力；</w:t>
            </w:r>
          </w:p>
          <w:p>
            <w:pPr>
              <w:widowControl/>
              <w:spacing w:line="320" w:lineRule="exact"/>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b）通过体系的有效应用，包括体系改进的过程，以及保证符合顾客要求和适用的法律法规要求，旨在增强顾客满意。</w:t>
            </w:r>
          </w:p>
        </w:tc>
        <w:tc>
          <w:tcPr>
            <w:tcW w:w="948" w:type="pct"/>
            <w:tcBorders>
              <w:top w:val="single" w:color="auto" w:sz="4" w:space="0"/>
              <w:left w:val="nil"/>
              <w:bottom w:val="single" w:color="auto" w:sz="4" w:space="0"/>
              <w:right w:val="single" w:color="auto" w:sz="4" w:space="0"/>
            </w:tcBorders>
            <w:noWrap/>
            <w:vAlign w:val="center"/>
          </w:tcPr>
          <w:p>
            <w:pPr>
              <w:widowControl/>
              <w:spacing w:line="320" w:lineRule="exact"/>
              <w:jc w:val="left"/>
              <w:rPr>
                <w:rFonts w:hint="default"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rPr>
              <w:t>编号由国家标准的代号(GB</w:t>
            </w:r>
            <w:r>
              <w:rPr>
                <w:rFonts w:hint="eastAsia" w:ascii="仿宋_GB2312" w:hAnsi="仿宋_GB2312" w:eastAsia="仿宋_GB2312" w:cs="仿宋_GB2312"/>
                <w:kern w:val="0"/>
                <w:szCs w:val="21"/>
                <w:lang w:val="en-US" w:eastAsia="zh-CN"/>
              </w:rPr>
              <w:t>/T</w:t>
            </w:r>
            <w:r>
              <w:rPr>
                <w:rFonts w:hint="eastAsia" w:ascii="仿宋_GB2312" w:hAnsi="仿宋_GB2312" w:eastAsia="仿宋_GB2312" w:cs="仿宋_GB2312"/>
                <w:kern w:val="0"/>
                <w:szCs w:val="21"/>
              </w:rPr>
              <w:t>)+国家标准发布的顺序号(</w:t>
            </w:r>
            <w:r>
              <w:rPr>
                <w:rFonts w:hint="eastAsia" w:ascii="仿宋_GB2312" w:hAnsi="仿宋_GB2312" w:eastAsia="仿宋_GB2312" w:cs="仿宋_GB2312"/>
                <w:kern w:val="0"/>
                <w:szCs w:val="21"/>
                <w:lang w:val="en-US" w:eastAsia="zh-CN"/>
              </w:rPr>
              <w:t>19001</w:t>
            </w:r>
            <w:r>
              <w:rPr>
                <w:rFonts w:hint="eastAsia" w:ascii="仿宋_GB2312" w:hAnsi="仿宋_GB2312" w:eastAsia="仿宋_GB2312" w:cs="仿宋_GB2312"/>
                <w:kern w:val="0"/>
                <w:szCs w:val="21"/>
              </w:rPr>
              <w:t>)+国家标准发布的年号(20</w:t>
            </w:r>
            <w:r>
              <w:rPr>
                <w:rFonts w:hint="eastAsia" w:ascii="仿宋_GB2312" w:hAnsi="仿宋_GB2312" w:eastAsia="仿宋_GB2312" w:cs="仿宋_GB2312"/>
                <w:kern w:val="0"/>
                <w:szCs w:val="21"/>
                <w:lang w:val="en-US" w:eastAsia="zh-CN"/>
              </w:rPr>
              <w:t>00</w:t>
            </w:r>
            <w:r>
              <w:rPr>
                <w:rFonts w:hint="eastAsia" w:ascii="仿宋_GB2312" w:hAnsi="仿宋_GB2312" w:eastAsia="仿宋_GB2312" w:cs="仿宋_GB2312"/>
                <w:kern w:val="0"/>
                <w:szCs w:val="21"/>
              </w:rPr>
              <w:t>)构成。</w:t>
            </w:r>
            <w:r>
              <w:rPr>
                <w:rFonts w:hint="eastAsia" w:ascii="仿宋_GB2312" w:hAnsi="仿宋_GB2312" w:eastAsia="仿宋_GB2312" w:cs="仿宋_GB2312"/>
                <w:kern w:val="0"/>
                <w:szCs w:val="21"/>
                <w:lang w:val="en-US" w:eastAsia="zh-CN"/>
              </w:rPr>
              <w:t>采标ISO9001</w:t>
            </w:r>
          </w:p>
        </w:tc>
        <w:tc>
          <w:tcPr>
            <w:tcW w:w="417" w:type="pct"/>
            <w:tcBorders>
              <w:top w:val="single" w:color="auto" w:sz="4" w:space="0"/>
              <w:left w:val="nil"/>
              <w:bottom w:val="single" w:color="auto" w:sz="4" w:space="0"/>
              <w:right w:val="single" w:color="auto" w:sz="4" w:space="0"/>
            </w:tcBorders>
            <w:noWrap/>
            <w:vAlign w:val="center"/>
          </w:tcPr>
          <w:p>
            <w:pPr>
              <w:widowControl/>
              <w:spacing w:line="320" w:lineRule="exact"/>
              <w:jc w:val="left"/>
              <w:rPr>
                <w:rFonts w:ascii="仿宋_GB2312" w:hAnsi="仿宋_GB2312" w:eastAsia="仿宋_GB2312" w:cs="仿宋_GB2312"/>
                <w:kern w:val="0"/>
                <w:szCs w:val="21"/>
              </w:rPr>
            </w:pPr>
          </w:p>
        </w:tc>
      </w:tr>
    </w:tbl>
    <w:p>
      <w:pPr>
        <w:pStyle w:val="23"/>
        <w:ind w:firstLine="640"/>
        <w:rPr>
          <w:rFonts w:hint="eastAsia"/>
          <w:sz w:val="32"/>
          <w:szCs w:val="32"/>
        </w:rPr>
      </w:pPr>
    </w:p>
    <w:p>
      <w:pPr>
        <w:overflowPunct w:val="0"/>
        <w:spacing w:line="572" w:lineRule="exact"/>
        <w:ind w:firstLine="643" w:firstLineChars="200"/>
        <w:rPr>
          <w:rFonts w:ascii="仿宋_GB2312" w:hAnsi="仿宋" w:eastAsia="仿宋_GB2312" w:cs="Times New Roman"/>
          <w:b/>
          <w:bCs/>
          <w:sz w:val="32"/>
          <w:szCs w:val="32"/>
        </w:rPr>
      </w:pPr>
      <w:r>
        <w:rPr>
          <w:rFonts w:hint="eastAsia" w:ascii="仿宋_GB2312" w:hAnsi="仿宋" w:eastAsia="仿宋_GB2312" w:cs="Times New Roman"/>
          <w:b/>
          <w:bCs/>
          <w:sz w:val="32"/>
          <w:szCs w:val="32"/>
        </w:rPr>
        <w:t>3.技术指标和服务要求</w:t>
      </w:r>
    </w:p>
    <w:p>
      <w:pPr>
        <w:widowControl/>
        <w:spacing w:line="320" w:lineRule="exact"/>
        <w:jc w:val="left"/>
        <w:rPr>
          <w:rFonts w:ascii="仿宋_GB2312" w:hAnsi="仿宋" w:eastAsia="仿宋_GB2312" w:cs="Times New Roman"/>
          <w:b/>
          <w:bCs/>
          <w:sz w:val="32"/>
          <w:szCs w:val="32"/>
        </w:rPr>
      </w:pPr>
    </w:p>
    <w:p>
      <w:pPr>
        <w:overflowPunct w:val="0"/>
        <w:spacing w:line="572" w:lineRule="exact"/>
        <w:ind w:firstLine="420" w:firstLineChars="200"/>
        <w:rPr>
          <w:rFonts w:ascii="仿宋_GB2312" w:hAnsi="仿宋" w:eastAsia="仿宋_GB2312" w:cs="Times New Roman"/>
          <w:sz w:val="32"/>
          <w:szCs w:val="32"/>
        </w:rPr>
      </w:pPr>
      <w:bookmarkStart w:id="0" w:name="_Hlk118554245"/>
      <w:bookmarkStart w:id="1" w:name="_Hlk118554221"/>
      <w:r>
        <w:rPr>
          <w:rFonts w:hint="eastAsia" w:ascii="仿宋_GB2312" w:hAnsi="仿宋_GB2312" w:eastAsia="仿宋_GB2312" w:cs="仿宋_GB2312"/>
          <w:kern w:val="0"/>
          <w:szCs w:val="21"/>
        </w:rPr>
        <w:t>基础</w:t>
      </w:r>
      <w:r>
        <w:rPr>
          <w:rFonts w:hint="eastAsia" w:ascii="仿宋_GB2312" w:hAnsi="仿宋" w:eastAsia="仿宋_GB2312" w:cs="Times New Roman"/>
          <w:sz w:val="32"/>
          <w:szCs w:val="32"/>
        </w:rPr>
        <w:t>医学虚拟仿真实验系统包含三个模块内容：1、线上医学虚拟仿真实验教学资源；2、VR沉浸式虚拟仿真系统课程资源；3、新建AR增强现实沉浸式虚拟仿真实验教学系统课程。</w:t>
      </w:r>
    </w:p>
    <w:p>
      <w:pPr>
        <w:pStyle w:val="23"/>
        <w:ind w:firstLine="653"/>
        <w:rPr>
          <w:b/>
          <w:bCs/>
          <w:sz w:val="32"/>
          <w:szCs w:val="32"/>
        </w:rPr>
      </w:pPr>
      <w:r>
        <w:rPr>
          <w:rFonts w:hint="eastAsia"/>
          <w:b/>
          <w:bCs/>
          <w:sz w:val="32"/>
          <w:szCs w:val="32"/>
        </w:rPr>
        <w:t>3.1线上医学虚拟仿真实验教学资源</w:t>
      </w:r>
    </w:p>
    <w:p>
      <w:pPr>
        <w:pStyle w:val="23"/>
        <w:ind w:firstLine="640"/>
        <w:rPr>
          <w:rFonts w:hAnsi="仿宋"/>
          <w:kern w:val="2"/>
          <w:sz w:val="32"/>
          <w:szCs w:val="32"/>
        </w:rPr>
      </w:pPr>
      <w:r>
        <w:rPr>
          <w:rFonts w:hint="eastAsia"/>
          <w:sz w:val="32"/>
          <w:szCs w:val="32"/>
        </w:rPr>
        <w:t>针对基础医学（生理学、病理学、药理学、生化与分子生物学、神经生物学、医学遗传学、微生物学、寄生虫学、医学免疫学）的九门课程，提供满足不少于45个（每门不少于5个）的仿真实验课程资源。具体技术参数如下：</w:t>
      </w:r>
    </w:p>
    <w:tbl>
      <w:tblPr>
        <w:tblStyle w:val="11"/>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8"/>
        <w:gridCol w:w="634"/>
        <w:gridCol w:w="743"/>
        <w:gridCol w:w="832"/>
        <w:gridCol w:w="1807"/>
        <w:gridCol w:w="3047"/>
        <w:gridCol w:w="912"/>
        <w:gridCol w:w="6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36" w:type="pct"/>
            <w:vAlign w:val="center"/>
          </w:tcPr>
          <w:p>
            <w:pPr>
              <w:widowControl/>
              <w:spacing w:line="320" w:lineRule="exact"/>
              <w:ind w:left="0" w:leftChars="0" w:right="0" w:rightChars="0" w:firstLine="0" w:firstLineChars="0"/>
              <w:jc w:val="center"/>
              <w:rPr>
                <w:rFonts w:hint="eastAsia" w:ascii="仿宋_GB2312" w:hAnsi="仿宋_GB2312" w:eastAsia="仿宋_GB2312" w:cs="仿宋_GB2312"/>
                <w:b/>
                <w:bCs/>
                <w:kern w:val="0"/>
                <w:szCs w:val="21"/>
              </w:rPr>
            </w:pPr>
            <w:r>
              <w:rPr>
                <w:rFonts w:hint="eastAsia" w:ascii="仿宋_GB2312" w:hAnsi="仿宋_GB2312" w:eastAsia="仿宋_GB2312" w:cs="仿宋_GB2312"/>
                <w:b/>
                <w:bCs/>
                <w:kern w:val="0"/>
                <w:szCs w:val="21"/>
              </w:rPr>
              <w:t>序号</w:t>
            </w:r>
          </w:p>
        </w:tc>
        <w:tc>
          <w:tcPr>
            <w:tcW w:w="350" w:type="pct"/>
            <w:vAlign w:val="center"/>
          </w:tcPr>
          <w:p>
            <w:pPr>
              <w:widowControl/>
              <w:spacing w:line="320" w:lineRule="exact"/>
              <w:ind w:left="0" w:leftChars="0" w:right="0" w:rightChars="0" w:firstLine="0" w:firstLineChars="0"/>
              <w:jc w:val="center"/>
              <w:rPr>
                <w:rFonts w:hint="eastAsia" w:ascii="仿宋_GB2312" w:hAnsi="仿宋_GB2312" w:eastAsia="仿宋_GB2312" w:cs="仿宋_GB2312"/>
                <w:b/>
                <w:bCs/>
                <w:kern w:val="0"/>
                <w:szCs w:val="21"/>
              </w:rPr>
            </w:pPr>
            <w:r>
              <w:rPr>
                <w:rFonts w:hint="eastAsia" w:ascii="仿宋_GB2312" w:hAnsi="仿宋_GB2312" w:eastAsia="仿宋_GB2312" w:cs="仿宋_GB2312"/>
                <w:b/>
                <w:bCs/>
                <w:kern w:val="0"/>
                <w:szCs w:val="21"/>
              </w:rPr>
              <w:t>分类</w:t>
            </w:r>
          </w:p>
        </w:tc>
        <w:tc>
          <w:tcPr>
            <w:tcW w:w="410" w:type="pct"/>
            <w:vAlign w:val="center"/>
          </w:tcPr>
          <w:p>
            <w:pPr>
              <w:widowControl/>
              <w:spacing w:line="320" w:lineRule="exact"/>
              <w:ind w:left="0" w:leftChars="0" w:right="0" w:rightChars="0" w:firstLine="0" w:firstLineChars="0"/>
              <w:jc w:val="center"/>
              <w:rPr>
                <w:rFonts w:hint="eastAsia" w:ascii="仿宋_GB2312" w:hAnsi="仿宋_GB2312" w:eastAsia="仿宋_GB2312" w:cs="仿宋_GB2312"/>
                <w:b/>
                <w:bCs/>
                <w:kern w:val="0"/>
                <w:szCs w:val="21"/>
              </w:rPr>
            </w:pPr>
            <w:r>
              <w:rPr>
                <w:rFonts w:hint="eastAsia" w:ascii="仿宋_GB2312" w:hAnsi="仿宋_GB2312" w:eastAsia="仿宋_GB2312" w:cs="仿宋_GB2312"/>
                <w:b/>
                <w:bCs/>
                <w:kern w:val="0"/>
                <w:szCs w:val="21"/>
              </w:rPr>
              <w:t>一级</w:t>
            </w:r>
          </w:p>
          <w:p>
            <w:pPr>
              <w:widowControl/>
              <w:spacing w:line="320" w:lineRule="exact"/>
              <w:ind w:left="0" w:leftChars="0" w:right="0" w:rightChars="0" w:firstLine="0" w:firstLineChars="0"/>
              <w:jc w:val="center"/>
              <w:rPr>
                <w:rFonts w:hint="eastAsia" w:ascii="仿宋_GB2312" w:hAnsi="仿宋_GB2312" w:eastAsia="仿宋_GB2312" w:cs="仿宋_GB2312"/>
                <w:b/>
                <w:bCs/>
                <w:kern w:val="0"/>
                <w:szCs w:val="21"/>
              </w:rPr>
            </w:pPr>
            <w:r>
              <w:rPr>
                <w:rFonts w:hint="eastAsia" w:ascii="仿宋_GB2312" w:hAnsi="仿宋_GB2312" w:eastAsia="仿宋_GB2312" w:cs="仿宋_GB2312"/>
                <w:b/>
                <w:bCs/>
                <w:kern w:val="0"/>
                <w:szCs w:val="21"/>
              </w:rPr>
              <w:t>指标</w:t>
            </w:r>
          </w:p>
        </w:tc>
        <w:tc>
          <w:tcPr>
            <w:tcW w:w="459" w:type="pct"/>
            <w:vAlign w:val="center"/>
          </w:tcPr>
          <w:p>
            <w:pPr>
              <w:widowControl/>
              <w:spacing w:line="320" w:lineRule="exact"/>
              <w:ind w:left="0" w:leftChars="0" w:right="0" w:rightChars="0" w:firstLine="0" w:firstLineChars="0"/>
              <w:jc w:val="center"/>
              <w:rPr>
                <w:rFonts w:hint="eastAsia" w:ascii="仿宋_GB2312" w:hAnsi="仿宋_GB2312" w:eastAsia="仿宋_GB2312" w:cs="仿宋_GB2312"/>
                <w:b/>
                <w:bCs/>
                <w:kern w:val="0"/>
                <w:szCs w:val="21"/>
              </w:rPr>
            </w:pPr>
            <w:r>
              <w:rPr>
                <w:rFonts w:hint="eastAsia" w:ascii="仿宋_GB2312" w:hAnsi="仿宋_GB2312" w:eastAsia="仿宋_GB2312" w:cs="仿宋_GB2312"/>
                <w:b/>
                <w:bCs/>
                <w:kern w:val="0"/>
                <w:szCs w:val="21"/>
              </w:rPr>
              <w:t>二级</w:t>
            </w:r>
          </w:p>
          <w:p>
            <w:pPr>
              <w:widowControl/>
              <w:spacing w:line="320" w:lineRule="exact"/>
              <w:ind w:left="0" w:leftChars="0" w:right="0" w:rightChars="0" w:firstLine="0" w:firstLineChars="0"/>
              <w:jc w:val="center"/>
              <w:rPr>
                <w:rFonts w:hint="eastAsia" w:ascii="仿宋_GB2312" w:hAnsi="仿宋_GB2312" w:eastAsia="仿宋_GB2312" w:cs="仿宋_GB2312"/>
                <w:b/>
                <w:bCs/>
                <w:kern w:val="0"/>
                <w:szCs w:val="21"/>
              </w:rPr>
            </w:pPr>
            <w:r>
              <w:rPr>
                <w:rFonts w:hint="eastAsia" w:ascii="仿宋_GB2312" w:hAnsi="仿宋_GB2312" w:eastAsia="仿宋_GB2312" w:cs="仿宋_GB2312"/>
                <w:b/>
                <w:bCs/>
                <w:kern w:val="0"/>
                <w:szCs w:val="21"/>
              </w:rPr>
              <w:t>及以下指标</w:t>
            </w:r>
          </w:p>
        </w:tc>
        <w:tc>
          <w:tcPr>
            <w:tcW w:w="997" w:type="pct"/>
            <w:vAlign w:val="center"/>
          </w:tcPr>
          <w:p>
            <w:pPr>
              <w:widowControl/>
              <w:spacing w:line="320" w:lineRule="exact"/>
              <w:ind w:left="0" w:leftChars="0" w:right="0" w:rightChars="0" w:firstLine="0" w:firstLineChars="0"/>
              <w:jc w:val="center"/>
              <w:rPr>
                <w:rFonts w:hint="eastAsia" w:ascii="仿宋_GB2312" w:hAnsi="仿宋_GB2312" w:eastAsia="仿宋_GB2312" w:cs="仿宋_GB2312"/>
                <w:b/>
                <w:bCs/>
                <w:kern w:val="0"/>
                <w:szCs w:val="21"/>
              </w:rPr>
            </w:pPr>
            <w:r>
              <w:rPr>
                <w:rFonts w:hint="eastAsia" w:ascii="仿宋_GB2312" w:hAnsi="仿宋_GB2312" w:eastAsia="仿宋_GB2312" w:cs="仿宋_GB2312"/>
                <w:b/>
                <w:bCs/>
                <w:kern w:val="0"/>
                <w:szCs w:val="21"/>
              </w:rPr>
              <w:t>是否作为强制要求及评分因素等</w:t>
            </w:r>
          </w:p>
        </w:tc>
        <w:tc>
          <w:tcPr>
            <w:tcW w:w="1681" w:type="pct"/>
            <w:vAlign w:val="center"/>
          </w:tcPr>
          <w:p>
            <w:pPr>
              <w:widowControl/>
              <w:spacing w:line="320" w:lineRule="exact"/>
              <w:ind w:left="0" w:leftChars="0" w:right="0" w:rightChars="0" w:firstLine="0" w:firstLineChars="0"/>
              <w:jc w:val="center"/>
              <w:rPr>
                <w:rFonts w:hint="eastAsia" w:ascii="仿宋_GB2312" w:hAnsi="仿宋_GB2312" w:eastAsia="仿宋_GB2312" w:cs="仿宋_GB2312"/>
                <w:b/>
                <w:bCs/>
                <w:kern w:val="0"/>
                <w:szCs w:val="21"/>
              </w:rPr>
            </w:pPr>
            <w:r>
              <w:rPr>
                <w:rFonts w:hint="eastAsia" w:ascii="仿宋_GB2312" w:hAnsi="仿宋_GB2312" w:eastAsia="仿宋_GB2312" w:cs="仿宋_GB2312"/>
                <w:b/>
                <w:bCs/>
                <w:kern w:val="0"/>
                <w:szCs w:val="21"/>
              </w:rPr>
              <w:t>指标要求</w:t>
            </w:r>
          </w:p>
        </w:tc>
        <w:tc>
          <w:tcPr>
            <w:tcW w:w="503" w:type="pct"/>
            <w:vAlign w:val="center"/>
          </w:tcPr>
          <w:p>
            <w:pPr>
              <w:widowControl/>
              <w:spacing w:line="320" w:lineRule="exact"/>
              <w:ind w:left="0" w:leftChars="0" w:right="0" w:rightChars="0" w:firstLine="0" w:firstLineChars="0"/>
              <w:jc w:val="center"/>
              <w:rPr>
                <w:rFonts w:hint="eastAsia" w:ascii="仿宋_GB2312" w:hAnsi="仿宋_GB2312" w:eastAsia="仿宋_GB2312" w:cs="仿宋_GB2312"/>
                <w:b/>
                <w:bCs/>
                <w:kern w:val="0"/>
                <w:szCs w:val="21"/>
              </w:rPr>
            </w:pPr>
            <w:r>
              <w:rPr>
                <w:rFonts w:hint="eastAsia" w:ascii="仿宋_GB2312" w:hAnsi="仿宋_GB2312" w:eastAsia="仿宋_GB2312" w:cs="仿宋_GB2312"/>
                <w:b/>
                <w:bCs/>
                <w:kern w:val="0"/>
                <w:szCs w:val="21"/>
              </w:rPr>
              <w:t>指标使用说明</w:t>
            </w:r>
          </w:p>
        </w:tc>
        <w:tc>
          <w:tcPr>
            <w:tcW w:w="360" w:type="pct"/>
            <w:vAlign w:val="center"/>
          </w:tcPr>
          <w:p>
            <w:pPr>
              <w:widowControl/>
              <w:spacing w:line="320" w:lineRule="exact"/>
              <w:ind w:left="0" w:leftChars="0" w:right="0" w:rightChars="0" w:firstLine="0" w:firstLineChars="0"/>
              <w:jc w:val="center"/>
              <w:rPr>
                <w:rFonts w:hint="eastAsia" w:ascii="仿宋_GB2312" w:hAnsi="仿宋_GB2312" w:eastAsia="仿宋_GB2312" w:cs="仿宋_GB2312"/>
                <w:b/>
                <w:bCs/>
                <w:kern w:val="0"/>
                <w:szCs w:val="21"/>
              </w:rPr>
            </w:pPr>
            <w:r>
              <w:rPr>
                <w:rFonts w:hint="eastAsia" w:ascii="仿宋_GB2312" w:hAnsi="仿宋_GB2312" w:eastAsia="仿宋_GB2312" w:cs="仿宋_GB2312"/>
                <w:b/>
                <w:bCs/>
                <w:kern w:val="0"/>
                <w:szCs w:val="21"/>
              </w:rPr>
              <w:t>证明方式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 w:type="pct"/>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1</w:t>
            </w:r>
          </w:p>
        </w:tc>
        <w:tc>
          <w:tcPr>
            <w:tcW w:w="350" w:type="pct"/>
            <w:vMerge w:val="restart"/>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线上医学虚拟仿真实验教学资源</w:t>
            </w:r>
          </w:p>
        </w:tc>
        <w:tc>
          <w:tcPr>
            <w:tcW w:w="410" w:type="pct"/>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全功能访问与课程设计</w:t>
            </w:r>
          </w:p>
        </w:tc>
        <w:tc>
          <w:tcPr>
            <w:tcW w:w="459" w:type="pct"/>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w:t>
            </w:r>
          </w:p>
        </w:tc>
        <w:tc>
          <w:tcPr>
            <w:tcW w:w="997" w:type="pct"/>
            <w:vAlign w:val="center"/>
          </w:tcPr>
          <w:p>
            <w:pPr>
              <w:widowControl/>
              <w:spacing w:line="320" w:lineRule="exact"/>
              <w:ind w:left="0" w:leftChars="0" w:right="0" w:rightChars="0" w:firstLine="0" w:firstLineChars="0"/>
              <w:jc w:val="both"/>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 xml:space="preserve">强制要求     </w:t>
            </w:r>
            <w:r>
              <w:rPr>
                <w:rFonts w:hint="eastAsia" w:ascii="仿宋_GB2312" w:hAnsi="仿宋_GB2312" w:eastAsia="仿宋_GB2312" w:cs="仿宋_GB2312"/>
                <w:kern w:val="0"/>
                <w:szCs w:val="21"/>
              </w:rPr>
              <w:sym w:font="Wingdings" w:char="00FE"/>
            </w:r>
          </w:p>
          <w:p>
            <w:pPr>
              <w:widowControl/>
              <w:spacing w:line="320" w:lineRule="exact"/>
              <w:ind w:left="0" w:leftChars="0" w:right="0" w:rightChars="0" w:firstLine="0" w:firstLineChars="0"/>
              <w:jc w:val="both"/>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 xml:space="preserve">评分因素     </w:t>
            </w:r>
            <w:r>
              <w:rPr>
                <w:rFonts w:hint="eastAsia" w:ascii="仿宋_GB2312" w:hAnsi="仿宋_GB2312" w:eastAsia="仿宋_GB2312" w:cs="仿宋_GB2312"/>
                <w:kern w:val="0"/>
                <w:szCs w:val="21"/>
              </w:rPr>
              <w:sym w:font="Wingdings" w:char="00A8"/>
            </w:r>
          </w:p>
          <w:p>
            <w:pPr>
              <w:widowControl/>
              <w:spacing w:line="320" w:lineRule="exact"/>
              <w:ind w:left="0" w:leftChars="0" w:right="0" w:rightChars="0" w:firstLine="0" w:firstLineChars="0"/>
              <w:jc w:val="both"/>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 xml:space="preserve">建议作为重要指标，适当增加分值权重         </w:t>
            </w:r>
            <w:r>
              <w:rPr>
                <w:rFonts w:hint="eastAsia" w:ascii="仿宋_GB2312" w:hAnsi="仿宋_GB2312" w:eastAsia="仿宋_GB2312" w:cs="仿宋_GB2312"/>
                <w:kern w:val="0"/>
                <w:szCs w:val="21"/>
              </w:rPr>
              <w:sym w:font="Wingdings" w:char="00A8"/>
            </w:r>
          </w:p>
        </w:tc>
        <w:tc>
          <w:tcPr>
            <w:tcW w:w="1681" w:type="pct"/>
            <w:vAlign w:val="center"/>
          </w:tcPr>
          <w:p>
            <w:pPr>
              <w:widowControl/>
              <w:spacing w:line="320" w:lineRule="exact"/>
              <w:ind w:left="0" w:leftChars="0" w:right="0" w:rightChars="0" w:firstLine="0" w:firstLineChars="0"/>
              <w:jc w:val="both"/>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支持PC、手机等移动端全功能访问，课件设计符合手机横屏操作要求。课件载入和显示时间小于5秒。</w:t>
            </w:r>
          </w:p>
        </w:tc>
        <w:tc>
          <w:tcPr>
            <w:tcW w:w="503" w:type="pct"/>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移动端访问流畅，课件载入和显示时间越短越好</w:t>
            </w:r>
          </w:p>
        </w:tc>
        <w:tc>
          <w:tcPr>
            <w:tcW w:w="360" w:type="pct"/>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供应商书面承诺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 w:type="pct"/>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2</w:t>
            </w:r>
          </w:p>
        </w:tc>
        <w:tc>
          <w:tcPr>
            <w:tcW w:w="350" w:type="pct"/>
            <w:vMerge w:val="continue"/>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p>
        </w:tc>
        <w:tc>
          <w:tcPr>
            <w:tcW w:w="410" w:type="pct"/>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字幕语音解说</w:t>
            </w:r>
          </w:p>
        </w:tc>
        <w:tc>
          <w:tcPr>
            <w:tcW w:w="459" w:type="pct"/>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w:t>
            </w:r>
          </w:p>
        </w:tc>
        <w:tc>
          <w:tcPr>
            <w:tcW w:w="997" w:type="pct"/>
            <w:vAlign w:val="center"/>
          </w:tcPr>
          <w:p>
            <w:pPr>
              <w:widowControl/>
              <w:spacing w:line="320" w:lineRule="exact"/>
              <w:ind w:left="0" w:leftChars="0" w:right="0" w:rightChars="0" w:firstLine="0" w:firstLineChars="0"/>
              <w:jc w:val="both"/>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 xml:space="preserve">强制要求     </w:t>
            </w:r>
            <w:r>
              <w:rPr>
                <w:rFonts w:hint="eastAsia" w:ascii="仿宋_GB2312" w:hAnsi="仿宋_GB2312" w:eastAsia="仿宋_GB2312" w:cs="仿宋_GB2312"/>
                <w:kern w:val="0"/>
                <w:szCs w:val="21"/>
              </w:rPr>
              <w:sym w:font="Wingdings" w:char="00A8"/>
            </w:r>
          </w:p>
          <w:p>
            <w:pPr>
              <w:widowControl/>
              <w:spacing w:line="320" w:lineRule="exact"/>
              <w:ind w:left="0" w:leftChars="0" w:right="0" w:rightChars="0" w:firstLine="0" w:firstLineChars="0"/>
              <w:jc w:val="both"/>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 xml:space="preserve">评分因素     </w:t>
            </w:r>
            <w:r>
              <w:rPr>
                <w:rFonts w:hint="eastAsia" w:ascii="仿宋_GB2312" w:hAnsi="仿宋_GB2312" w:eastAsia="仿宋_GB2312" w:cs="仿宋_GB2312"/>
                <w:kern w:val="0"/>
                <w:szCs w:val="21"/>
              </w:rPr>
              <w:sym w:font="Wingdings" w:char="00FE"/>
            </w:r>
          </w:p>
          <w:p>
            <w:pPr>
              <w:widowControl/>
              <w:spacing w:line="320" w:lineRule="exact"/>
              <w:ind w:left="0" w:leftChars="0" w:right="0" w:rightChars="0" w:firstLine="0" w:firstLineChars="0"/>
              <w:jc w:val="both"/>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 xml:space="preserve">建议作为重要指标，适当增加分值权重         </w:t>
            </w:r>
            <w:r>
              <w:rPr>
                <w:rFonts w:hint="eastAsia" w:ascii="仿宋_GB2312" w:hAnsi="仿宋_GB2312" w:eastAsia="仿宋_GB2312" w:cs="仿宋_GB2312"/>
                <w:kern w:val="0"/>
                <w:szCs w:val="21"/>
              </w:rPr>
              <w:sym w:font="Wingdings" w:char="00A8"/>
            </w:r>
          </w:p>
        </w:tc>
        <w:tc>
          <w:tcPr>
            <w:tcW w:w="1681" w:type="pct"/>
            <w:vAlign w:val="center"/>
          </w:tcPr>
          <w:p>
            <w:pPr>
              <w:widowControl/>
              <w:spacing w:line="320" w:lineRule="exact"/>
              <w:ind w:left="0" w:leftChars="0" w:right="0" w:rightChars="0" w:firstLine="0" w:firstLineChars="0"/>
              <w:jc w:val="both"/>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有字幕语音解说，可以切换关闭。</w:t>
            </w:r>
          </w:p>
        </w:tc>
        <w:tc>
          <w:tcPr>
            <w:tcW w:w="503" w:type="pct"/>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功能完整</w:t>
            </w:r>
          </w:p>
        </w:tc>
        <w:tc>
          <w:tcPr>
            <w:tcW w:w="360" w:type="pct"/>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供应商书面承诺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 w:type="pct"/>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3</w:t>
            </w:r>
          </w:p>
        </w:tc>
        <w:tc>
          <w:tcPr>
            <w:tcW w:w="350" w:type="pct"/>
            <w:vMerge w:val="continue"/>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p>
        </w:tc>
        <w:tc>
          <w:tcPr>
            <w:tcW w:w="410" w:type="pct"/>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实验模块在线访</w:t>
            </w:r>
          </w:p>
        </w:tc>
        <w:tc>
          <w:tcPr>
            <w:tcW w:w="459" w:type="pct"/>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w:t>
            </w:r>
          </w:p>
        </w:tc>
        <w:tc>
          <w:tcPr>
            <w:tcW w:w="997" w:type="pct"/>
            <w:vAlign w:val="center"/>
          </w:tcPr>
          <w:p>
            <w:pPr>
              <w:widowControl/>
              <w:spacing w:line="320" w:lineRule="exact"/>
              <w:ind w:left="0" w:leftChars="0" w:right="0" w:rightChars="0" w:firstLine="0" w:firstLineChars="0"/>
              <w:jc w:val="both"/>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 xml:space="preserve">强制要求     </w:t>
            </w:r>
            <w:r>
              <w:rPr>
                <w:rFonts w:hint="eastAsia" w:ascii="仿宋_GB2312" w:hAnsi="仿宋_GB2312" w:eastAsia="仿宋_GB2312" w:cs="仿宋_GB2312"/>
                <w:kern w:val="0"/>
                <w:szCs w:val="21"/>
              </w:rPr>
              <w:sym w:font="Wingdings" w:char="00A8"/>
            </w:r>
          </w:p>
          <w:p>
            <w:pPr>
              <w:widowControl/>
              <w:spacing w:line="320" w:lineRule="exact"/>
              <w:ind w:left="0" w:leftChars="0" w:right="0" w:rightChars="0" w:firstLine="0" w:firstLineChars="0"/>
              <w:jc w:val="both"/>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 xml:space="preserve">评分因素     </w:t>
            </w:r>
            <w:r>
              <w:rPr>
                <w:rFonts w:hint="eastAsia" w:ascii="仿宋_GB2312" w:hAnsi="仿宋_GB2312" w:eastAsia="仿宋_GB2312" w:cs="仿宋_GB2312"/>
                <w:kern w:val="0"/>
                <w:szCs w:val="21"/>
              </w:rPr>
              <w:sym w:font="Wingdings" w:char="00FE"/>
            </w:r>
          </w:p>
          <w:p>
            <w:pPr>
              <w:widowControl/>
              <w:spacing w:line="320" w:lineRule="exact"/>
              <w:ind w:left="0" w:leftChars="0" w:right="0" w:rightChars="0" w:firstLine="0" w:firstLineChars="0"/>
              <w:jc w:val="both"/>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 xml:space="preserve">建议作为重要指标，适当增加分值权重         </w:t>
            </w:r>
            <w:r>
              <w:rPr>
                <w:rFonts w:hint="eastAsia" w:ascii="仿宋_GB2312" w:hAnsi="仿宋_GB2312" w:eastAsia="仿宋_GB2312" w:cs="仿宋_GB2312"/>
                <w:kern w:val="0"/>
                <w:szCs w:val="21"/>
              </w:rPr>
              <w:sym w:font="Wingdings" w:char="00A8"/>
            </w:r>
          </w:p>
        </w:tc>
        <w:tc>
          <w:tcPr>
            <w:tcW w:w="1681" w:type="pct"/>
            <w:vAlign w:val="center"/>
          </w:tcPr>
          <w:p>
            <w:pPr>
              <w:widowControl/>
              <w:spacing w:line="320" w:lineRule="exact"/>
              <w:ind w:left="0" w:leftChars="0" w:right="0" w:rightChars="0" w:firstLine="0" w:firstLineChars="0"/>
              <w:jc w:val="both"/>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实验模块支持在线访问，无需下载客户端</w:t>
            </w:r>
          </w:p>
        </w:tc>
        <w:tc>
          <w:tcPr>
            <w:tcW w:w="503" w:type="pct"/>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在线访问界面逻辑清晰，可操作性强</w:t>
            </w:r>
          </w:p>
        </w:tc>
        <w:tc>
          <w:tcPr>
            <w:tcW w:w="360" w:type="pct"/>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供应商书面承诺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 w:type="pct"/>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4</w:t>
            </w:r>
          </w:p>
        </w:tc>
        <w:tc>
          <w:tcPr>
            <w:tcW w:w="350" w:type="pct"/>
            <w:vMerge w:val="continue"/>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p>
        </w:tc>
        <w:tc>
          <w:tcPr>
            <w:tcW w:w="410" w:type="pct"/>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课件</w:t>
            </w:r>
          </w:p>
        </w:tc>
        <w:tc>
          <w:tcPr>
            <w:tcW w:w="459" w:type="pct"/>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w:t>
            </w:r>
          </w:p>
        </w:tc>
        <w:tc>
          <w:tcPr>
            <w:tcW w:w="997" w:type="pct"/>
            <w:vAlign w:val="center"/>
          </w:tcPr>
          <w:p>
            <w:pPr>
              <w:widowControl/>
              <w:spacing w:line="320" w:lineRule="exact"/>
              <w:ind w:left="0" w:leftChars="0" w:right="0" w:rightChars="0" w:firstLine="0" w:firstLineChars="0"/>
              <w:jc w:val="both"/>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 xml:space="preserve">强制要求     </w:t>
            </w:r>
            <w:r>
              <w:rPr>
                <w:rFonts w:hint="eastAsia" w:ascii="仿宋_GB2312" w:hAnsi="仿宋_GB2312" w:eastAsia="仿宋_GB2312" w:cs="仿宋_GB2312"/>
                <w:kern w:val="0"/>
                <w:szCs w:val="21"/>
              </w:rPr>
              <w:sym w:font="Wingdings 2" w:char="00A3"/>
            </w:r>
          </w:p>
          <w:p>
            <w:pPr>
              <w:widowControl/>
              <w:spacing w:line="320" w:lineRule="exact"/>
              <w:ind w:left="0" w:leftChars="0" w:right="0" w:rightChars="0" w:firstLine="0" w:firstLineChars="0"/>
              <w:jc w:val="both"/>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 xml:space="preserve">评分因素     </w:t>
            </w:r>
            <w:r>
              <w:rPr>
                <w:rFonts w:hint="eastAsia" w:ascii="仿宋_GB2312" w:hAnsi="仿宋_GB2312" w:eastAsia="仿宋_GB2312" w:cs="仿宋_GB2312"/>
                <w:kern w:val="0"/>
                <w:szCs w:val="21"/>
              </w:rPr>
              <w:sym w:font="Wingdings" w:char="00FE"/>
            </w:r>
          </w:p>
          <w:p>
            <w:pPr>
              <w:widowControl/>
              <w:spacing w:line="320" w:lineRule="exact"/>
              <w:ind w:left="0" w:leftChars="0" w:right="0" w:rightChars="0" w:firstLine="0" w:firstLineChars="0"/>
              <w:jc w:val="both"/>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 xml:space="preserve">建议作为重要指标，适当增加分值权重         </w:t>
            </w:r>
            <w:r>
              <w:rPr>
                <w:rFonts w:hint="eastAsia" w:ascii="仿宋_GB2312" w:hAnsi="仿宋_GB2312" w:eastAsia="仿宋_GB2312" w:cs="仿宋_GB2312"/>
                <w:kern w:val="0"/>
                <w:szCs w:val="21"/>
              </w:rPr>
              <w:sym w:font="Wingdings" w:char="00A8"/>
            </w:r>
          </w:p>
        </w:tc>
        <w:tc>
          <w:tcPr>
            <w:tcW w:w="1681" w:type="pct"/>
            <w:vAlign w:val="center"/>
          </w:tcPr>
          <w:p>
            <w:pPr>
              <w:widowControl/>
              <w:spacing w:line="320" w:lineRule="exact"/>
              <w:ind w:left="0" w:leftChars="0" w:right="0" w:rightChars="0" w:firstLine="0" w:firstLineChars="0"/>
              <w:jc w:val="both"/>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课件每个实验步骤配有演示动画，播放流畅。课件提供高清视频演示，帮助学生完成学习</w:t>
            </w:r>
          </w:p>
        </w:tc>
        <w:tc>
          <w:tcPr>
            <w:tcW w:w="503" w:type="pct"/>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提供的功能齐全完整，课件动画加载快速</w:t>
            </w:r>
          </w:p>
        </w:tc>
        <w:tc>
          <w:tcPr>
            <w:tcW w:w="360" w:type="pct"/>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供应商书面承诺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 w:type="pct"/>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5</w:t>
            </w:r>
          </w:p>
        </w:tc>
        <w:tc>
          <w:tcPr>
            <w:tcW w:w="350" w:type="pct"/>
            <w:vMerge w:val="continue"/>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p>
        </w:tc>
        <w:tc>
          <w:tcPr>
            <w:tcW w:w="410" w:type="pct"/>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实验计分和成绩统计</w:t>
            </w:r>
          </w:p>
        </w:tc>
        <w:tc>
          <w:tcPr>
            <w:tcW w:w="459" w:type="pct"/>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w:t>
            </w:r>
          </w:p>
        </w:tc>
        <w:tc>
          <w:tcPr>
            <w:tcW w:w="997" w:type="pct"/>
            <w:vAlign w:val="center"/>
          </w:tcPr>
          <w:p>
            <w:pPr>
              <w:widowControl/>
              <w:spacing w:line="320" w:lineRule="exact"/>
              <w:ind w:left="0" w:leftChars="0" w:right="0" w:rightChars="0" w:firstLine="0" w:firstLineChars="0"/>
              <w:jc w:val="both"/>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 xml:space="preserve">强制要求     </w:t>
            </w:r>
            <w:r>
              <w:rPr>
                <w:rFonts w:hint="eastAsia" w:ascii="仿宋_GB2312" w:hAnsi="仿宋_GB2312" w:eastAsia="仿宋_GB2312" w:cs="仿宋_GB2312"/>
                <w:kern w:val="0"/>
                <w:szCs w:val="21"/>
              </w:rPr>
              <w:sym w:font="Wingdings 2" w:char="00A3"/>
            </w:r>
          </w:p>
          <w:p>
            <w:pPr>
              <w:widowControl/>
              <w:spacing w:line="320" w:lineRule="exact"/>
              <w:ind w:left="0" w:leftChars="0" w:right="0" w:rightChars="0" w:firstLine="0" w:firstLineChars="0"/>
              <w:jc w:val="both"/>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 xml:space="preserve">评分因素     </w:t>
            </w:r>
            <w:r>
              <w:rPr>
                <w:rFonts w:hint="eastAsia" w:ascii="仿宋_GB2312" w:hAnsi="仿宋_GB2312" w:eastAsia="仿宋_GB2312" w:cs="仿宋_GB2312"/>
                <w:kern w:val="0"/>
                <w:szCs w:val="21"/>
              </w:rPr>
              <w:sym w:font="Wingdings" w:char="00FE"/>
            </w:r>
          </w:p>
          <w:p>
            <w:pPr>
              <w:widowControl/>
              <w:spacing w:line="320" w:lineRule="exact"/>
              <w:ind w:left="0" w:leftChars="0" w:right="0" w:rightChars="0" w:firstLine="0" w:firstLineChars="0"/>
              <w:jc w:val="both"/>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 xml:space="preserve">建议作为重要指标，适当增加分值权重         </w:t>
            </w:r>
            <w:r>
              <w:rPr>
                <w:rFonts w:hint="eastAsia" w:ascii="仿宋_GB2312" w:hAnsi="仿宋_GB2312" w:eastAsia="仿宋_GB2312" w:cs="仿宋_GB2312"/>
                <w:kern w:val="0"/>
                <w:szCs w:val="21"/>
              </w:rPr>
              <w:sym w:font="Wingdings" w:char="00A8"/>
            </w:r>
          </w:p>
        </w:tc>
        <w:tc>
          <w:tcPr>
            <w:tcW w:w="1681" w:type="pct"/>
            <w:vAlign w:val="center"/>
          </w:tcPr>
          <w:p>
            <w:pPr>
              <w:widowControl/>
              <w:spacing w:line="320" w:lineRule="exact"/>
              <w:ind w:left="0" w:leftChars="0" w:right="0" w:rightChars="0" w:firstLine="0" w:firstLineChars="0"/>
              <w:jc w:val="both"/>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按实验步骤问题计分，完成实验后支持在线查看结果，支持生成PDF格式实验报告。在线学习结果颁发证书功能，可检查学生学习是否通过，学习时间和成绩。</w:t>
            </w:r>
          </w:p>
        </w:tc>
        <w:tc>
          <w:tcPr>
            <w:tcW w:w="503" w:type="pct"/>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提供的功能齐全完整，可操作性强</w:t>
            </w:r>
          </w:p>
        </w:tc>
        <w:tc>
          <w:tcPr>
            <w:tcW w:w="360" w:type="pct"/>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供应商书面承诺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6" w:type="pct"/>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6</w:t>
            </w:r>
          </w:p>
        </w:tc>
        <w:tc>
          <w:tcPr>
            <w:tcW w:w="350" w:type="pct"/>
            <w:vMerge w:val="continue"/>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p>
        </w:tc>
        <w:tc>
          <w:tcPr>
            <w:tcW w:w="410" w:type="pct"/>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虚拟平台对接</w:t>
            </w:r>
          </w:p>
        </w:tc>
        <w:tc>
          <w:tcPr>
            <w:tcW w:w="459" w:type="pct"/>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w:t>
            </w:r>
          </w:p>
        </w:tc>
        <w:tc>
          <w:tcPr>
            <w:tcW w:w="997" w:type="pct"/>
            <w:vAlign w:val="center"/>
          </w:tcPr>
          <w:p>
            <w:pPr>
              <w:widowControl/>
              <w:spacing w:line="320" w:lineRule="exact"/>
              <w:ind w:left="0" w:leftChars="0" w:right="0" w:rightChars="0" w:firstLine="0" w:firstLineChars="0"/>
              <w:jc w:val="both"/>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 xml:space="preserve">强制要求     </w:t>
            </w:r>
            <w:r>
              <w:rPr>
                <w:rFonts w:hint="eastAsia" w:ascii="仿宋_GB2312" w:hAnsi="仿宋_GB2312" w:eastAsia="仿宋_GB2312" w:cs="仿宋_GB2312"/>
                <w:kern w:val="0"/>
                <w:szCs w:val="21"/>
              </w:rPr>
              <w:sym w:font="Wingdings 2" w:char="00A3"/>
            </w:r>
          </w:p>
          <w:p>
            <w:pPr>
              <w:widowControl/>
              <w:spacing w:line="320" w:lineRule="exact"/>
              <w:ind w:left="0" w:leftChars="0" w:right="0" w:rightChars="0" w:firstLine="0" w:firstLineChars="0"/>
              <w:jc w:val="both"/>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 xml:space="preserve">评分因素     </w:t>
            </w:r>
            <w:r>
              <w:rPr>
                <w:rFonts w:hint="eastAsia" w:ascii="仿宋_GB2312" w:hAnsi="仿宋_GB2312" w:eastAsia="仿宋_GB2312" w:cs="仿宋_GB2312"/>
                <w:kern w:val="0"/>
                <w:szCs w:val="21"/>
              </w:rPr>
              <w:sym w:font="Wingdings" w:char="00FE"/>
            </w:r>
          </w:p>
          <w:p>
            <w:pPr>
              <w:widowControl/>
              <w:spacing w:line="320" w:lineRule="exact"/>
              <w:ind w:left="0" w:leftChars="0" w:right="0" w:rightChars="0" w:firstLine="0" w:firstLineChars="0"/>
              <w:jc w:val="both"/>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 xml:space="preserve">建议作为重要指标，适当增加分值权重         </w:t>
            </w:r>
            <w:r>
              <w:rPr>
                <w:rFonts w:hint="eastAsia" w:ascii="仿宋_GB2312" w:hAnsi="仿宋_GB2312" w:eastAsia="仿宋_GB2312" w:cs="仿宋_GB2312"/>
                <w:kern w:val="0"/>
                <w:szCs w:val="21"/>
              </w:rPr>
              <w:sym w:font="Wingdings" w:char="00A8"/>
            </w:r>
          </w:p>
        </w:tc>
        <w:tc>
          <w:tcPr>
            <w:tcW w:w="1681" w:type="pct"/>
            <w:vAlign w:val="center"/>
          </w:tcPr>
          <w:p>
            <w:pPr>
              <w:widowControl/>
              <w:spacing w:line="320" w:lineRule="exact"/>
              <w:ind w:left="0" w:leftChars="0" w:right="0" w:rightChars="0" w:firstLine="0" w:firstLineChars="0"/>
              <w:jc w:val="both"/>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实验模块可无缝对接虚拟平台，课件可记录用户的学习时长，以及最近一次的学习成绩，数据共享，学生完成学习后可导出统计学数据，生成形成性评价。</w:t>
            </w:r>
          </w:p>
        </w:tc>
        <w:tc>
          <w:tcPr>
            <w:tcW w:w="503" w:type="pct"/>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要求的功能齐全完整</w:t>
            </w:r>
          </w:p>
        </w:tc>
        <w:tc>
          <w:tcPr>
            <w:tcW w:w="360" w:type="pct"/>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供应商书面承诺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6" w:type="pct"/>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7</w:t>
            </w:r>
          </w:p>
        </w:tc>
        <w:tc>
          <w:tcPr>
            <w:tcW w:w="350" w:type="pct"/>
            <w:vMerge w:val="continue"/>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p>
        </w:tc>
        <w:tc>
          <w:tcPr>
            <w:tcW w:w="410" w:type="pct"/>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技术规范</w:t>
            </w:r>
          </w:p>
        </w:tc>
        <w:tc>
          <w:tcPr>
            <w:tcW w:w="459" w:type="pct"/>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w:t>
            </w:r>
          </w:p>
        </w:tc>
        <w:tc>
          <w:tcPr>
            <w:tcW w:w="997" w:type="pct"/>
            <w:vAlign w:val="center"/>
          </w:tcPr>
          <w:p>
            <w:pPr>
              <w:widowControl/>
              <w:spacing w:line="320" w:lineRule="exact"/>
              <w:ind w:left="0" w:leftChars="0" w:right="0" w:rightChars="0" w:firstLine="0" w:firstLineChars="0"/>
              <w:jc w:val="both"/>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 xml:space="preserve">强制要求     </w:t>
            </w:r>
            <w:r>
              <w:rPr>
                <w:rFonts w:hint="eastAsia" w:ascii="仿宋_GB2312" w:hAnsi="仿宋_GB2312" w:eastAsia="仿宋_GB2312" w:cs="仿宋_GB2312"/>
                <w:kern w:val="0"/>
                <w:szCs w:val="21"/>
              </w:rPr>
              <w:sym w:font="Wingdings 2" w:char="00A3"/>
            </w:r>
          </w:p>
          <w:p>
            <w:pPr>
              <w:widowControl/>
              <w:spacing w:line="320" w:lineRule="exact"/>
              <w:ind w:left="0" w:leftChars="0" w:right="0" w:rightChars="0" w:firstLine="0" w:firstLineChars="0"/>
              <w:jc w:val="both"/>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 xml:space="preserve">评分因素     </w:t>
            </w:r>
            <w:r>
              <w:rPr>
                <w:rFonts w:hint="eastAsia" w:ascii="仿宋_GB2312" w:hAnsi="仿宋_GB2312" w:eastAsia="仿宋_GB2312" w:cs="仿宋_GB2312"/>
                <w:kern w:val="0"/>
                <w:szCs w:val="21"/>
              </w:rPr>
              <w:sym w:font="Wingdings" w:char="00FE"/>
            </w:r>
          </w:p>
          <w:p>
            <w:pPr>
              <w:widowControl/>
              <w:spacing w:line="320" w:lineRule="exact"/>
              <w:ind w:left="0" w:leftChars="0" w:right="0" w:rightChars="0" w:firstLine="0" w:firstLineChars="0"/>
              <w:jc w:val="both"/>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 xml:space="preserve">建议作为重要指标，适当增加分值权重         </w:t>
            </w:r>
            <w:r>
              <w:rPr>
                <w:rFonts w:hint="eastAsia" w:ascii="仿宋_GB2312" w:hAnsi="仿宋_GB2312" w:eastAsia="仿宋_GB2312" w:cs="仿宋_GB2312"/>
                <w:kern w:val="0"/>
                <w:szCs w:val="21"/>
              </w:rPr>
              <w:sym w:font="Wingdings" w:char="00A8"/>
            </w:r>
          </w:p>
        </w:tc>
        <w:tc>
          <w:tcPr>
            <w:tcW w:w="1681" w:type="pct"/>
            <w:vAlign w:val="center"/>
          </w:tcPr>
          <w:p>
            <w:pPr>
              <w:widowControl/>
              <w:spacing w:line="320" w:lineRule="exact"/>
              <w:ind w:left="0" w:leftChars="0" w:right="0" w:rightChars="0" w:firstLine="0" w:firstLineChars="0"/>
              <w:jc w:val="both"/>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课件技术规范完全符合国际共享参考模型SCORM 1.2的标准格式，符合所有支持scorm平台获取学习成绩和过程记录等功能。</w:t>
            </w:r>
          </w:p>
        </w:tc>
        <w:tc>
          <w:tcPr>
            <w:tcW w:w="503" w:type="pct"/>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符合规范要求</w:t>
            </w:r>
          </w:p>
        </w:tc>
        <w:tc>
          <w:tcPr>
            <w:tcW w:w="360" w:type="pct"/>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供应商书面承诺</w:t>
            </w:r>
          </w:p>
        </w:tc>
      </w:tr>
    </w:tbl>
    <w:p>
      <w:pPr>
        <w:pStyle w:val="23"/>
        <w:ind w:firstLine="640"/>
        <w:rPr>
          <w:sz w:val="32"/>
          <w:szCs w:val="32"/>
        </w:rPr>
      </w:pPr>
      <w:r>
        <w:rPr>
          <w:rFonts w:hint="eastAsia"/>
          <w:sz w:val="32"/>
          <w:szCs w:val="32"/>
        </w:rPr>
        <w:t>线上医学虚拟仿真实验教学资源清单如下表（包含但不限于表中实验项目内容）：</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6"/>
        <w:gridCol w:w="7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086" w:type="dxa"/>
          </w:tcPr>
          <w:p>
            <w:pPr>
              <w:widowControl/>
              <w:spacing w:line="320" w:lineRule="exact"/>
              <w:ind w:left="0" w:leftChars="0" w:right="0" w:rightChars="0" w:firstLine="0" w:firstLineChars="0"/>
              <w:jc w:val="center"/>
              <w:rPr>
                <w:rFonts w:hint="eastAsia" w:ascii="仿宋_GB2312" w:hAnsi="仿宋_GB2312" w:eastAsia="仿宋_GB2312" w:cs="仿宋_GB2312"/>
                <w:b/>
                <w:bCs/>
                <w:kern w:val="0"/>
                <w:szCs w:val="21"/>
              </w:rPr>
            </w:pPr>
            <w:r>
              <w:rPr>
                <w:rFonts w:hint="eastAsia" w:ascii="仿宋_GB2312" w:hAnsi="仿宋_GB2312" w:eastAsia="仿宋_GB2312" w:cs="仿宋_GB2312"/>
                <w:b/>
                <w:bCs/>
                <w:kern w:val="0"/>
                <w:szCs w:val="21"/>
              </w:rPr>
              <w:t>序号</w:t>
            </w:r>
          </w:p>
        </w:tc>
        <w:tc>
          <w:tcPr>
            <w:tcW w:w="7748" w:type="dxa"/>
            <w:vAlign w:val="center"/>
          </w:tcPr>
          <w:p>
            <w:pPr>
              <w:widowControl/>
              <w:spacing w:line="320" w:lineRule="exact"/>
              <w:ind w:left="0" w:leftChars="0" w:right="0" w:rightChars="0" w:firstLine="0" w:firstLineChars="0"/>
              <w:jc w:val="center"/>
              <w:rPr>
                <w:rFonts w:hint="eastAsia" w:ascii="仿宋_GB2312" w:hAnsi="仿宋_GB2312" w:eastAsia="仿宋_GB2312" w:cs="仿宋_GB2312"/>
                <w:b/>
                <w:bCs/>
                <w:kern w:val="0"/>
                <w:szCs w:val="21"/>
              </w:rPr>
            </w:pPr>
            <w:r>
              <w:rPr>
                <w:rFonts w:hint="eastAsia" w:ascii="仿宋_GB2312" w:hAnsi="仿宋_GB2312" w:eastAsia="仿宋_GB2312" w:cs="仿宋_GB2312"/>
                <w:b/>
                <w:bCs/>
                <w:kern w:val="0"/>
                <w:szCs w:val="21"/>
              </w:rPr>
              <w:t>名称</w:t>
            </w:r>
          </w:p>
        </w:tc>
      </w:tr>
      <w:bookmarkEnd w:id="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6" w:type="dxa"/>
            <w:vAlign w:val="center"/>
          </w:tcPr>
          <w:p>
            <w:pPr>
              <w:widowControl/>
              <w:spacing w:line="320" w:lineRule="exact"/>
              <w:ind w:left="0" w:leftChars="0" w:right="0" w:rightChars="0" w:firstLine="0" w:firstLineChars="0"/>
              <w:jc w:val="center"/>
              <w:rPr>
                <w:rFonts w:hint="eastAsia" w:ascii="仿宋_GB2312" w:hAnsi="仿宋_GB2312" w:eastAsia="仿宋_GB2312" w:cs="仿宋_GB2312"/>
                <w:b w:val="0"/>
                <w:bCs w:val="0"/>
                <w:kern w:val="0"/>
                <w:szCs w:val="21"/>
              </w:rPr>
            </w:pPr>
            <w:r>
              <w:rPr>
                <w:rFonts w:hint="eastAsia" w:ascii="仿宋_GB2312" w:hAnsi="仿宋_GB2312" w:eastAsia="仿宋_GB2312" w:cs="仿宋_GB2312"/>
                <w:b w:val="0"/>
                <w:bCs w:val="0"/>
                <w:kern w:val="0"/>
                <w:szCs w:val="21"/>
              </w:rPr>
              <w:t>1</w:t>
            </w:r>
          </w:p>
        </w:tc>
        <w:tc>
          <w:tcPr>
            <w:tcW w:w="7748" w:type="dxa"/>
            <w:vAlign w:val="center"/>
          </w:tcPr>
          <w:p>
            <w:pPr>
              <w:widowControl/>
              <w:spacing w:line="320" w:lineRule="exact"/>
              <w:jc w:val="left"/>
              <w:rPr>
                <w:rFonts w:hint="eastAsia" w:ascii="仿宋_GB2312" w:hAnsi="仿宋_GB2312" w:eastAsia="仿宋_GB2312" w:cs="仿宋_GB2312"/>
                <w:kern w:val="0"/>
                <w:szCs w:val="21"/>
              </w:rPr>
            </w:pPr>
            <w:bookmarkStart w:id="2" w:name="_Hlk118554265"/>
            <w:r>
              <w:rPr>
                <w:rFonts w:hint="eastAsia" w:ascii="仿宋_GB2312" w:hAnsi="仿宋_GB2312" w:eastAsia="仿宋_GB2312" w:cs="仿宋_GB2312"/>
                <w:kern w:val="0"/>
                <w:szCs w:val="21"/>
              </w:rPr>
              <w:t>生理学-神经干动作电位的引导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6" w:type="dxa"/>
            <w:vAlign w:val="center"/>
          </w:tcPr>
          <w:p>
            <w:pPr>
              <w:widowControl/>
              <w:spacing w:line="320" w:lineRule="exact"/>
              <w:ind w:left="0" w:leftChars="0" w:right="0" w:rightChars="0" w:firstLine="0" w:firstLineChars="0"/>
              <w:jc w:val="center"/>
              <w:rPr>
                <w:rFonts w:hint="eastAsia" w:ascii="仿宋_GB2312" w:hAnsi="仿宋_GB2312" w:eastAsia="仿宋_GB2312" w:cs="仿宋_GB2312"/>
                <w:b w:val="0"/>
                <w:bCs w:val="0"/>
                <w:kern w:val="0"/>
                <w:szCs w:val="21"/>
              </w:rPr>
            </w:pPr>
            <w:r>
              <w:rPr>
                <w:rFonts w:hint="eastAsia" w:ascii="仿宋_GB2312" w:hAnsi="仿宋_GB2312" w:eastAsia="仿宋_GB2312" w:cs="仿宋_GB2312"/>
                <w:b w:val="0"/>
                <w:bCs w:val="0"/>
                <w:kern w:val="0"/>
                <w:szCs w:val="21"/>
              </w:rPr>
              <w:t>2</w:t>
            </w:r>
          </w:p>
        </w:tc>
        <w:tc>
          <w:tcPr>
            <w:tcW w:w="7748" w:type="dxa"/>
            <w:vAlign w:val="center"/>
          </w:tcPr>
          <w:p>
            <w:pPr>
              <w:widowControl/>
              <w:spacing w:line="320" w:lineRule="exact"/>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生理学-家兔呼吸运动的调节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6" w:type="dxa"/>
            <w:vAlign w:val="center"/>
          </w:tcPr>
          <w:p>
            <w:pPr>
              <w:widowControl/>
              <w:spacing w:line="320" w:lineRule="exact"/>
              <w:ind w:left="0" w:leftChars="0" w:right="0" w:rightChars="0" w:firstLine="0" w:firstLineChars="0"/>
              <w:jc w:val="center"/>
              <w:rPr>
                <w:rFonts w:hint="eastAsia" w:ascii="仿宋_GB2312" w:hAnsi="仿宋_GB2312" w:eastAsia="仿宋_GB2312" w:cs="仿宋_GB2312"/>
                <w:b w:val="0"/>
                <w:bCs w:val="0"/>
                <w:kern w:val="0"/>
                <w:szCs w:val="21"/>
              </w:rPr>
            </w:pPr>
            <w:r>
              <w:rPr>
                <w:rFonts w:hint="eastAsia" w:ascii="仿宋_GB2312" w:hAnsi="仿宋_GB2312" w:eastAsia="仿宋_GB2312" w:cs="仿宋_GB2312"/>
                <w:b w:val="0"/>
                <w:bCs w:val="0"/>
                <w:kern w:val="0"/>
                <w:szCs w:val="21"/>
              </w:rPr>
              <w:t>3</w:t>
            </w:r>
          </w:p>
        </w:tc>
        <w:tc>
          <w:tcPr>
            <w:tcW w:w="7748" w:type="dxa"/>
            <w:vAlign w:val="center"/>
          </w:tcPr>
          <w:p>
            <w:pPr>
              <w:widowControl/>
              <w:spacing w:line="320" w:lineRule="exact"/>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生理学-离体心肌细胞内动作电位的记录及分析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6" w:type="dxa"/>
            <w:vAlign w:val="center"/>
          </w:tcPr>
          <w:p>
            <w:pPr>
              <w:widowControl/>
              <w:spacing w:line="320" w:lineRule="exact"/>
              <w:ind w:left="0" w:leftChars="0" w:right="0" w:rightChars="0" w:firstLine="0" w:firstLineChars="0"/>
              <w:jc w:val="center"/>
              <w:rPr>
                <w:rFonts w:hint="eastAsia" w:ascii="仿宋_GB2312" w:hAnsi="仿宋_GB2312" w:eastAsia="仿宋_GB2312" w:cs="仿宋_GB2312"/>
                <w:b w:val="0"/>
                <w:bCs w:val="0"/>
                <w:kern w:val="0"/>
                <w:szCs w:val="21"/>
              </w:rPr>
            </w:pPr>
            <w:r>
              <w:rPr>
                <w:rFonts w:hint="eastAsia" w:ascii="仿宋_GB2312" w:hAnsi="仿宋_GB2312" w:eastAsia="仿宋_GB2312" w:cs="仿宋_GB2312"/>
                <w:b w:val="0"/>
                <w:bCs w:val="0"/>
                <w:kern w:val="0"/>
                <w:szCs w:val="21"/>
              </w:rPr>
              <w:t>4</w:t>
            </w:r>
          </w:p>
        </w:tc>
        <w:tc>
          <w:tcPr>
            <w:tcW w:w="7748" w:type="dxa"/>
            <w:vAlign w:val="center"/>
          </w:tcPr>
          <w:p>
            <w:pPr>
              <w:widowControl/>
              <w:spacing w:line="320" w:lineRule="exact"/>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生理学-家兔血压调节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6" w:type="dxa"/>
            <w:vAlign w:val="center"/>
          </w:tcPr>
          <w:p>
            <w:pPr>
              <w:widowControl/>
              <w:spacing w:line="320" w:lineRule="exact"/>
              <w:ind w:left="0" w:leftChars="0" w:right="0" w:rightChars="0" w:firstLine="0" w:firstLineChars="0"/>
              <w:jc w:val="center"/>
              <w:rPr>
                <w:rFonts w:hint="eastAsia" w:ascii="仿宋_GB2312" w:hAnsi="仿宋_GB2312" w:eastAsia="仿宋_GB2312" w:cs="仿宋_GB2312"/>
                <w:b w:val="0"/>
                <w:bCs w:val="0"/>
                <w:kern w:val="0"/>
                <w:szCs w:val="21"/>
              </w:rPr>
            </w:pPr>
            <w:r>
              <w:rPr>
                <w:rFonts w:hint="eastAsia" w:ascii="仿宋_GB2312" w:hAnsi="仿宋_GB2312" w:eastAsia="仿宋_GB2312" w:cs="仿宋_GB2312"/>
                <w:b w:val="0"/>
                <w:bCs w:val="0"/>
                <w:kern w:val="0"/>
                <w:szCs w:val="21"/>
              </w:rPr>
              <w:t>5</w:t>
            </w:r>
          </w:p>
        </w:tc>
        <w:tc>
          <w:tcPr>
            <w:tcW w:w="7748" w:type="dxa"/>
            <w:vAlign w:val="center"/>
          </w:tcPr>
          <w:p>
            <w:pPr>
              <w:widowControl/>
              <w:spacing w:line="320" w:lineRule="exact"/>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生理学-影响尿液生成的因素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6" w:type="dxa"/>
            <w:vAlign w:val="center"/>
          </w:tcPr>
          <w:p>
            <w:pPr>
              <w:widowControl/>
              <w:spacing w:line="320" w:lineRule="exact"/>
              <w:ind w:left="0" w:leftChars="0" w:right="0" w:rightChars="0" w:firstLine="0" w:firstLineChars="0"/>
              <w:jc w:val="center"/>
              <w:rPr>
                <w:rFonts w:hint="eastAsia" w:ascii="仿宋_GB2312" w:hAnsi="仿宋_GB2312" w:eastAsia="仿宋_GB2312" w:cs="仿宋_GB2312"/>
                <w:b w:val="0"/>
                <w:bCs w:val="0"/>
                <w:kern w:val="0"/>
                <w:szCs w:val="21"/>
              </w:rPr>
            </w:pPr>
            <w:r>
              <w:rPr>
                <w:rFonts w:hint="eastAsia" w:ascii="仿宋_GB2312" w:hAnsi="仿宋_GB2312" w:eastAsia="仿宋_GB2312" w:cs="仿宋_GB2312"/>
                <w:b w:val="0"/>
                <w:bCs w:val="0"/>
                <w:kern w:val="0"/>
                <w:szCs w:val="21"/>
              </w:rPr>
              <w:t>6</w:t>
            </w:r>
          </w:p>
        </w:tc>
        <w:tc>
          <w:tcPr>
            <w:tcW w:w="7748" w:type="dxa"/>
            <w:vAlign w:val="center"/>
          </w:tcPr>
          <w:p>
            <w:pPr>
              <w:widowControl/>
              <w:spacing w:line="320" w:lineRule="exact"/>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病理生理学-家兔高钾血症及治疗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6" w:type="dxa"/>
            <w:vAlign w:val="center"/>
          </w:tcPr>
          <w:p>
            <w:pPr>
              <w:widowControl/>
              <w:spacing w:line="320" w:lineRule="exact"/>
              <w:ind w:left="0" w:leftChars="0" w:right="0" w:rightChars="0" w:firstLine="0" w:firstLineChars="0"/>
              <w:jc w:val="center"/>
              <w:rPr>
                <w:rFonts w:hint="eastAsia" w:ascii="仿宋_GB2312" w:hAnsi="仿宋_GB2312" w:eastAsia="仿宋_GB2312" w:cs="仿宋_GB2312"/>
                <w:b w:val="0"/>
                <w:bCs w:val="0"/>
                <w:kern w:val="0"/>
                <w:szCs w:val="21"/>
              </w:rPr>
            </w:pPr>
            <w:r>
              <w:rPr>
                <w:rFonts w:hint="eastAsia" w:ascii="仿宋_GB2312" w:hAnsi="仿宋_GB2312" w:eastAsia="仿宋_GB2312" w:cs="仿宋_GB2312"/>
                <w:b w:val="0"/>
                <w:bCs w:val="0"/>
                <w:kern w:val="0"/>
                <w:szCs w:val="21"/>
              </w:rPr>
              <w:t>7</w:t>
            </w:r>
          </w:p>
        </w:tc>
        <w:tc>
          <w:tcPr>
            <w:tcW w:w="7748" w:type="dxa"/>
            <w:vAlign w:val="center"/>
          </w:tcPr>
          <w:p>
            <w:pPr>
              <w:widowControl/>
              <w:spacing w:line="320" w:lineRule="exact"/>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病理生理学-家兔肺水肿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6" w:type="dxa"/>
            <w:vAlign w:val="center"/>
          </w:tcPr>
          <w:p>
            <w:pPr>
              <w:widowControl/>
              <w:spacing w:line="320" w:lineRule="exact"/>
              <w:ind w:left="0" w:leftChars="0" w:right="0" w:rightChars="0" w:firstLine="0" w:firstLineChars="0"/>
              <w:jc w:val="center"/>
              <w:rPr>
                <w:rFonts w:hint="eastAsia" w:ascii="仿宋_GB2312" w:hAnsi="仿宋_GB2312" w:eastAsia="仿宋_GB2312" w:cs="仿宋_GB2312"/>
                <w:b w:val="0"/>
                <w:bCs w:val="0"/>
                <w:kern w:val="0"/>
                <w:szCs w:val="21"/>
              </w:rPr>
            </w:pPr>
            <w:r>
              <w:rPr>
                <w:rFonts w:hint="eastAsia" w:ascii="仿宋_GB2312" w:hAnsi="仿宋_GB2312" w:eastAsia="仿宋_GB2312" w:cs="仿宋_GB2312"/>
                <w:b w:val="0"/>
                <w:bCs w:val="0"/>
                <w:kern w:val="0"/>
                <w:szCs w:val="21"/>
              </w:rPr>
              <w:t>8</w:t>
            </w:r>
          </w:p>
        </w:tc>
        <w:tc>
          <w:tcPr>
            <w:tcW w:w="7748" w:type="dxa"/>
            <w:vAlign w:val="center"/>
          </w:tcPr>
          <w:p>
            <w:pPr>
              <w:widowControl/>
              <w:spacing w:line="320" w:lineRule="exact"/>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病理生理学-缺氧中血红蛋白性质的定量分析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6" w:type="dxa"/>
            <w:vAlign w:val="center"/>
          </w:tcPr>
          <w:p>
            <w:pPr>
              <w:widowControl/>
              <w:spacing w:line="320" w:lineRule="exact"/>
              <w:ind w:left="0" w:leftChars="0" w:right="0" w:rightChars="0" w:firstLine="0" w:firstLineChars="0"/>
              <w:jc w:val="center"/>
              <w:rPr>
                <w:rFonts w:hint="eastAsia" w:ascii="仿宋_GB2312" w:hAnsi="仿宋_GB2312" w:eastAsia="仿宋_GB2312" w:cs="仿宋_GB2312"/>
                <w:b w:val="0"/>
                <w:bCs w:val="0"/>
                <w:kern w:val="0"/>
                <w:szCs w:val="21"/>
              </w:rPr>
            </w:pPr>
            <w:r>
              <w:rPr>
                <w:rFonts w:hint="eastAsia" w:ascii="仿宋_GB2312" w:hAnsi="仿宋_GB2312" w:eastAsia="仿宋_GB2312" w:cs="仿宋_GB2312"/>
                <w:b w:val="0"/>
                <w:bCs w:val="0"/>
                <w:kern w:val="0"/>
                <w:szCs w:val="21"/>
              </w:rPr>
              <w:t>9</w:t>
            </w:r>
          </w:p>
        </w:tc>
        <w:tc>
          <w:tcPr>
            <w:tcW w:w="7748" w:type="dxa"/>
            <w:vAlign w:val="center"/>
          </w:tcPr>
          <w:p>
            <w:pPr>
              <w:widowControl/>
              <w:spacing w:line="320" w:lineRule="exact"/>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病理生理学-急性缺氧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6" w:type="dxa"/>
            <w:vAlign w:val="center"/>
          </w:tcPr>
          <w:p>
            <w:pPr>
              <w:widowControl/>
              <w:spacing w:line="320" w:lineRule="exact"/>
              <w:ind w:left="0" w:leftChars="0" w:right="0" w:rightChars="0" w:firstLine="0" w:firstLineChars="0"/>
              <w:jc w:val="center"/>
              <w:rPr>
                <w:rFonts w:hint="eastAsia" w:ascii="仿宋_GB2312" w:hAnsi="仿宋_GB2312" w:eastAsia="仿宋_GB2312" w:cs="仿宋_GB2312"/>
                <w:b w:val="0"/>
                <w:bCs w:val="0"/>
                <w:kern w:val="0"/>
                <w:szCs w:val="21"/>
              </w:rPr>
            </w:pPr>
            <w:r>
              <w:rPr>
                <w:rFonts w:hint="eastAsia" w:ascii="仿宋_GB2312" w:hAnsi="仿宋_GB2312" w:eastAsia="仿宋_GB2312" w:cs="仿宋_GB2312"/>
                <w:b w:val="0"/>
                <w:bCs w:val="0"/>
                <w:kern w:val="0"/>
                <w:szCs w:val="21"/>
              </w:rPr>
              <w:t>10</w:t>
            </w:r>
          </w:p>
        </w:tc>
        <w:tc>
          <w:tcPr>
            <w:tcW w:w="7748" w:type="dxa"/>
            <w:vAlign w:val="center"/>
          </w:tcPr>
          <w:p>
            <w:pPr>
              <w:widowControl/>
              <w:spacing w:line="320" w:lineRule="exact"/>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病理生理学-急性肾功能衰竭模型制备及检测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6" w:type="dxa"/>
            <w:vAlign w:val="center"/>
          </w:tcPr>
          <w:p>
            <w:pPr>
              <w:widowControl/>
              <w:spacing w:line="320" w:lineRule="exact"/>
              <w:ind w:left="0" w:leftChars="0" w:right="0" w:rightChars="0" w:firstLine="0" w:firstLineChars="0"/>
              <w:jc w:val="center"/>
              <w:rPr>
                <w:rFonts w:hint="eastAsia" w:ascii="仿宋_GB2312" w:hAnsi="仿宋_GB2312" w:eastAsia="仿宋_GB2312" w:cs="仿宋_GB2312"/>
                <w:b w:val="0"/>
                <w:bCs w:val="0"/>
                <w:kern w:val="0"/>
                <w:szCs w:val="21"/>
              </w:rPr>
            </w:pPr>
            <w:r>
              <w:rPr>
                <w:rFonts w:hint="eastAsia" w:ascii="仿宋_GB2312" w:hAnsi="仿宋_GB2312" w:eastAsia="仿宋_GB2312" w:cs="仿宋_GB2312"/>
                <w:b w:val="0"/>
                <w:bCs w:val="0"/>
                <w:kern w:val="0"/>
                <w:szCs w:val="21"/>
              </w:rPr>
              <w:t>11</w:t>
            </w:r>
          </w:p>
        </w:tc>
        <w:tc>
          <w:tcPr>
            <w:tcW w:w="7748" w:type="dxa"/>
            <w:vAlign w:val="center"/>
          </w:tcPr>
          <w:p>
            <w:pPr>
              <w:widowControl/>
              <w:spacing w:line="320" w:lineRule="exact"/>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药理学-镇痛药的镇痛效果--扭体法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6" w:type="dxa"/>
            <w:vAlign w:val="center"/>
          </w:tcPr>
          <w:p>
            <w:pPr>
              <w:widowControl/>
              <w:spacing w:line="320" w:lineRule="exact"/>
              <w:ind w:left="0" w:leftChars="0" w:right="0" w:rightChars="0" w:firstLine="0" w:firstLineChars="0"/>
              <w:jc w:val="center"/>
              <w:rPr>
                <w:rFonts w:hint="eastAsia" w:ascii="仿宋_GB2312" w:hAnsi="仿宋_GB2312" w:eastAsia="仿宋_GB2312" w:cs="仿宋_GB2312"/>
                <w:b w:val="0"/>
                <w:bCs w:val="0"/>
                <w:kern w:val="0"/>
                <w:szCs w:val="21"/>
              </w:rPr>
            </w:pPr>
            <w:r>
              <w:rPr>
                <w:rFonts w:hint="eastAsia" w:ascii="仿宋_GB2312" w:hAnsi="仿宋_GB2312" w:eastAsia="仿宋_GB2312" w:cs="仿宋_GB2312"/>
                <w:b w:val="0"/>
                <w:bCs w:val="0"/>
                <w:kern w:val="0"/>
                <w:szCs w:val="21"/>
              </w:rPr>
              <w:t>12</w:t>
            </w:r>
          </w:p>
        </w:tc>
        <w:tc>
          <w:tcPr>
            <w:tcW w:w="7748" w:type="dxa"/>
            <w:vAlign w:val="center"/>
          </w:tcPr>
          <w:p>
            <w:pPr>
              <w:widowControl/>
              <w:spacing w:line="320" w:lineRule="exact"/>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药理学-药物急性毒性实验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6" w:type="dxa"/>
            <w:vAlign w:val="center"/>
          </w:tcPr>
          <w:p>
            <w:pPr>
              <w:widowControl/>
              <w:spacing w:line="320" w:lineRule="exact"/>
              <w:ind w:left="0" w:leftChars="0" w:right="0" w:rightChars="0" w:firstLine="0" w:firstLineChars="0"/>
              <w:jc w:val="center"/>
              <w:rPr>
                <w:rFonts w:hint="eastAsia" w:ascii="仿宋_GB2312" w:hAnsi="仿宋_GB2312" w:eastAsia="仿宋_GB2312" w:cs="仿宋_GB2312"/>
                <w:b w:val="0"/>
                <w:bCs w:val="0"/>
                <w:kern w:val="0"/>
                <w:szCs w:val="21"/>
              </w:rPr>
            </w:pPr>
            <w:r>
              <w:rPr>
                <w:rFonts w:hint="eastAsia" w:ascii="仿宋_GB2312" w:hAnsi="仿宋_GB2312" w:eastAsia="仿宋_GB2312" w:cs="仿宋_GB2312"/>
                <w:b w:val="0"/>
                <w:bCs w:val="0"/>
                <w:kern w:val="0"/>
                <w:szCs w:val="21"/>
              </w:rPr>
              <w:t>13</w:t>
            </w:r>
          </w:p>
        </w:tc>
        <w:tc>
          <w:tcPr>
            <w:tcW w:w="7748" w:type="dxa"/>
            <w:vAlign w:val="center"/>
          </w:tcPr>
          <w:p>
            <w:pPr>
              <w:widowControl/>
              <w:spacing w:line="320" w:lineRule="exact"/>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药理学-肝肾功能状态对药物血药浓度的影响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6" w:type="dxa"/>
            <w:vAlign w:val="center"/>
          </w:tcPr>
          <w:p>
            <w:pPr>
              <w:widowControl/>
              <w:spacing w:line="320" w:lineRule="exact"/>
              <w:ind w:left="0" w:leftChars="0" w:right="0" w:rightChars="0" w:firstLine="0" w:firstLineChars="0"/>
              <w:jc w:val="center"/>
              <w:rPr>
                <w:rFonts w:hint="eastAsia" w:ascii="仿宋_GB2312" w:hAnsi="仿宋_GB2312" w:eastAsia="仿宋_GB2312" w:cs="仿宋_GB2312"/>
                <w:b w:val="0"/>
                <w:bCs w:val="0"/>
                <w:kern w:val="0"/>
                <w:szCs w:val="21"/>
              </w:rPr>
            </w:pPr>
            <w:r>
              <w:rPr>
                <w:rFonts w:hint="eastAsia" w:ascii="仿宋_GB2312" w:hAnsi="仿宋_GB2312" w:eastAsia="仿宋_GB2312" w:cs="仿宋_GB2312"/>
                <w:b w:val="0"/>
                <w:bCs w:val="0"/>
                <w:kern w:val="0"/>
                <w:szCs w:val="21"/>
              </w:rPr>
              <w:t>14</w:t>
            </w:r>
          </w:p>
        </w:tc>
        <w:tc>
          <w:tcPr>
            <w:tcW w:w="7748" w:type="dxa"/>
            <w:vAlign w:val="center"/>
          </w:tcPr>
          <w:p>
            <w:pPr>
              <w:widowControl/>
              <w:spacing w:line="320" w:lineRule="exact"/>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药理学-肝肾缺血损伤对家兔全血磺胺嘧啶钠二室模型药物代谢的影响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6" w:type="dxa"/>
            <w:vAlign w:val="center"/>
          </w:tcPr>
          <w:p>
            <w:pPr>
              <w:widowControl/>
              <w:spacing w:line="320" w:lineRule="exact"/>
              <w:ind w:left="0" w:leftChars="0" w:right="0" w:rightChars="0" w:firstLine="0" w:firstLineChars="0"/>
              <w:jc w:val="center"/>
              <w:rPr>
                <w:rFonts w:hint="eastAsia" w:ascii="仿宋_GB2312" w:hAnsi="仿宋_GB2312" w:eastAsia="仿宋_GB2312" w:cs="仿宋_GB2312"/>
                <w:b w:val="0"/>
                <w:bCs w:val="0"/>
                <w:kern w:val="0"/>
                <w:szCs w:val="21"/>
              </w:rPr>
            </w:pPr>
            <w:r>
              <w:rPr>
                <w:rFonts w:hint="eastAsia" w:ascii="仿宋_GB2312" w:hAnsi="仿宋_GB2312" w:eastAsia="仿宋_GB2312" w:cs="仿宋_GB2312"/>
                <w:b w:val="0"/>
                <w:bCs w:val="0"/>
                <w:kern w:val="0"/>
                <w:szCs w:val="21"/>
              </w:rPr>
              <w:t>15</w:t>
            </w:r>
          </w:p>
        </w:tc>
        <w:tc>
          <w:tcPr>
            <w:tcW w:w="7748" w:type="dxa"/>
            <w:vAlign w:val="center"/>
          </w:tcPr>
          <w:p>
            <w:pPr>
              <w:widowControl/>
              <w:spacing w:line="320" w:lineRule="exact"/>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药理学-苯海拉明的拮抗参数PA2测定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6" w:type="dxa"/>
            <w:vAlign w:val="center"/>
          </w:tcPr>
          <w:p>
            <w:pPr>
              <w:widowControl/>
              <w:spacing w:line="320" w:lineRule="exact"/>
              <w:ind w:left="0" w:leftChars="0" w:right="0" w:rightChars="0" w:firstLine="0" w:firstLineChars="0"/>
              <w:jc w:val="center"/>
              <w:rPr>
                <w:rFonts w:hint="eastAsia" w:ascii="仿宋_GB2312" w:hAnsi="仿宋_GB2312" w:eastAsia="仿宋_GB2312" w:cs="仿宋_GB2312"/>
                <w:b w:val="0"/>
                <w:bCs w:val="0"/>
                <w:kern w:val="0"/>
                <w:szCs w:val="21"/>
              </w:rPr>
            </w:pPr>
            <w:r>
              <w:rPr>
                <w:rFonts w:hint="eastAsia" w:ascii="仿宋_GB2312" w:hAnsi="仿宋_GB2312" w:eastAsia="仿宋_GB2312" w:cs="仿宋_GB2312"/>
                <w:b w:val="0"/>
                <w:bCs w:val="0"/>
                <w:kern w:val="0"/>
                <w:szCs w:val="21"/>
              </w:rPr>
              <w:t>16</w:t>
            </w:r>
          </w:p>
        </w:tc>
        <w:tc>
          <w:tcPr>
            <w:tcW w:w="7748" w:type="dxa"/>
            <w:vAlign w:val="center"/>
          </w:tcPr>
          <w:p>
            <w:pPr>
              <w:widowControl/>
              <w:spacing w:line="320" w:lineRule="exact"/>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寄生虫-隐孢子虫综合实验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6" w:type="dxa"/>
            <w:vAlign w:val="center"/>
          </w:tcPr>
          <w:p>
            <w:pPr>
              <w:widowControl/>
              <w:spacing w:line="320" w:lineRule="exact"/>
              <w:ind w:left="0" w:leftChars="0" w:right="0" w:rightChars="0" w:firstLine="0" w:firstLineChars="0"/>
              <w:jc w:val="center"/>
              <w:rPr>
                <w:rFonts w:hint="eastAsia" w:ascii="仿宋_GB2312" w:hAnsi="仿宋_GB2312" w:eastAsia="仿宋_GB2312" w:cs="仿宋_GB2312"/>
                <w:b w:val="0"/>
                <w:bCs w:val="0"/>
                <w:kern w:val="0"/>
                <w:szCs w:val="21"/>
              </w:rPr>
            </w:pPr>
            <w:r>
              <w:rPr>
                <w:rFonts w:hint="eastAsia" w:ascii="仿宋_GB2312" w:hAnsi="仿宋_GB2312" w:eastAsia="仿宋_GB2312" w:cs="仿宋_GB2312"/>
                <w:b w:val="0"/>
                <w:bCs w:val="0"/>
                <w:kern w:val="0"/>
                <w:szCs w:val="21"/>
              </w:rPr>
              <w:t>17</w:t>
            </w:r>
          </w:p>
        </w:tc>
        <w:tc>
          <w:tcPr>
            <w:tcW w:w="7748" w:type="dxa"/>
            <w:vAlign w:val="center"/>
          </w:tcPr>
          <w:p>
            <w:pPr>
              <w:widowControl/>
              <w:spacing w:line="320" w:lineRule="exact"/>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寄生虫-旋毛线虫综合实验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6" w:type="dxa"/>
            <w:vAlign w:val="center"/>
          </w:tcPr>
          <w:p>
            <w:pPr>
              <w:widowControl/>
              <w:spacing w:line="320" w:lineRule="exact"/>
              <w:ind w:left="0" w:leftChars="0" w:right="0" w:rightChars="0" w:firstLine="0" w:firstLineChars="0"/>
              <w:jc w:val="center"/>
              <w:rPr>
                <w:rFonts w:hint="eastAsia" w:ascii="仿宋_GB2312" w:hAnsi="仿宋_GB2312" w:eastAsia="仿宋_GB2312" w:cs="仿宋_GB2312"/>
                <w:b w:val="0"/>
                <w:bCs w:val="0"/>
                <w:kern w:val="0"/>
                <w:szCs w:val="21"/>
              </w:rPr>
            </w:pPr>
            <w:r>
              <w:rPr>
                <w:rFonts w:hint="eastAsia" w:ascii="仿宋_GB2312" w:hAnsi="仿宋_GB2312" w:eastAsia="仿宋_GB2312" w:cs="仿宋_GB2312"/>
                <w:b w:val="0"/>
                <w:bCs w:val="0"/>
                <w:kern w:val="0"/>
                <w:szCs w:val="21"/>
              </w:rPr>
              <w:t>18</w:t>
            </w:r>
          </w:p>
        </w:tc>
        <w:tc>
          <w:tcPr>
            <w:tcW w:w="7748" w:type="dxa"/>
            <w:vAlign w:val="center"/>
          </w:tcPr>
          <w:p>
            <w:pPr>
              <w:widowControl/>
              <w:spacing w:line="320" w:lineRule="exact"/>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寄生虫-阴道毛滴虫的瑞氏染色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6" w:type="dxa"/>
            <w:vAlign w:val="center"/>
          </w:tcPr>
          <w:p>
            <w:pPr>
              <w:widowControl/>
              <w:spacing w:line="320" w:lineRule="exact"/>
              <w:ind w:left="0" w:leftChars="0" w:right="0" w:rightChars="0" w:firstLine="0" w:firstLineChars="0"/>
              <w:jc w:val="center"/>
              <w:rPr>
                <w:rFonts w:hint="eastAsia" w:ascii="仿宋_GB2312" w:hAnsi="仿宋_GB2312" w:eastAsia="仿宋_GB2312" w:cs="仿宋_GB2312"/>
                <w:b w:val="0"/>
                <w:bCs w:val="0"/>
                <w:kern w:val="0"/>
                <w:szCs w:val="21"/>
              </w:rPr>
            </w:pPr>
            <w:r>
              <w:rPr>
                <w:rFonts w:hint="eastAsia" w:ascii="仿宋_GB2312" w:hAnsi="仿宋_GB2312" w:eastAsia="仿宋_GB2312" w:cs="仿宋_GB2312"/>
                <w:b w:val="0"/>
                <w:bCs w:val="0"/>
                <w:kern w:val="0"/>
                <w:szCs w:val="21"/>
              </w:rPr>
              <w:t>19</w:t>
            </w:r>
          </w:p>
        </w:tc>
        <w:tc>
          <w:tcPr>
            <w:tcW w:w="7748" w:type="dxa"/>
            <w:vAlign w:val="center"/>
          </w:tcPr>
          <w:p>
            <w:pPr>
              <w:widowControl/>
              <w:spacing w:line="320" w:lineRule="exact"/>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寄生虫-日本血吸虫动物模型的建立与实验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6" w:type="dxa"/>
            <w:vAlign w:val="center"/>
          </w:tcPr>
          <w:p>
            <w:pPr>
              <w:widowControl/>
              <w:spacing w:line="320" w:lineRule="exact"/>
              <w:ind w:left="0" w:leftChars="0" w:right="0" w:rightChars="0" w:firstLine="0" w:firstLineChars="0"/>
              <w:jc w:val="center"/>
              <w:rPr>
                <w:rFonts w:hint="eastAsia" w:ascii="仿宋_GB2312" w:hAnsi="仿宋_GB2312" w:eastAsia="仿宋_GB2312" w:cs="仿宋_GB2312"/>
                <w:b w:val="0"/>
                <w:bCs w:val="0"/>
                <w:kern w:val="0"/>
                <w:szCs w:val="21"/>
              </w:rPr>
            </w:pPr>
            <w:r>
              <w:rPr>
                <w:rFonts w:hint="eastAsia" w:ascii="仿宋_GB2312" w:hAnsi="仿宋_GB2312" w:eastAsia="仿宋_GB2312" w:cs="仿宋_GB2312"/>
                <w:b w:val="0"/>
                <w:bCs w:val="0"/>
                <w:kern w:val="0"/>
                <w:szCs w:val="21"/>
              </w:rPr>
              <w:t>20</w:t>
            </w:r>
          </w:p>
        </w:tc>
        <w:tc>
          <w:tcPr>
            <w:tcW w:w="7748" w:type="dxa"/>
            <w:vAlign w:val="center"/>
          </w:tcPr>
          <w:p>
            <w:pPr>
              <w:widowControl/>
              <w:spacing w:line="320" w:lineRule="exact"/>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寄生虫-毛蚴孵化法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6" w:type="dxa"/>
            <w:vAlign w:val="center"/>
          </w:tcPr>
          <w:p>
            <w:pPr>
              <w:widowControl/>
              <w:spacing w:line="320" w:lineRule="exact"/>
              <w:ind w:left="0" w:leftChars="0" w:right="0" w:rightChars="0" w:firstLine="0" w:firstLineChars="0"/>
              <w:jc w:val="center"/>
              <w:rPr>
                <w:rFonts w:hint="eastAsia" w:ascii="仿宋_GB2312" w:hAnsi="仿宋_GB2312" w:eastAsia="仿宋_GB2312" w:cs="仿宋_GB2312"/>
                <w:b w:val="0"/>
                <w:bCs w:val="0"/>
                <w:kern w:val="0"/>
                <w:szCs w:val="21"/>
              </w:rPr>
            </w:pPr>
            <w:r>
              <w:rPr>
                <w:rFonts w:hint="eastAsia" w:ascii="仿宋_GB2312" w:hAnsi="仿宋_GB2312" w:eastAsia="仿宋_GB2312" w:cs="仿宋_GB2312"/>
                <w:b w:val="0"/>
                <w:bCs w:val="0"/>
                <w:kern w:val="0"/>
                <w:szCs w:val="21"/>
              </w:rPr>
              <w:t>21</w:t>
            </w:r>
          </w:p>
        </w:tc>
        <w:tc>
          <w:tcPr>
            <w:tcW w:w="7748" w:type="dxa"/>
            <w:vAlign w:val="center"/>
          </w:tcPr>
          <w:p>
            <w:pPr>
              <w:widowControl/>
              <w:spacing w:line="320" w:lineRule="exact"/>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病原微生物-梅毒螺旋体的实验室检查虚拟仿真实验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6" w:type="dxa"/>
            <w:vAlign w:val="center"/>
          </w:tcPr>
          <w:p>
            <w:pPr>
              <w:widowControl/>
              <w:spacing w:line="320" w:lineRule="exact"/>
              <w:ind w:left="0" w:leftChars="0" w:right="0" w:rightChars="0" w:firstLine="0" w:firstLineChars="0"/>
              <w:jc w:val="center"/>
              <w:rPr>
                <w:rFonts w:hint="eastAsia" w:ascii="仿宋_GB2312" w:hAnsi="仿宋_GB2312" w:eastAsia="仿宋_GB2312" w:cs="仿宋_GB2312"/>
                <w:b w:val="0"/>
                <w:bCs w:val="0"/>
                <w:kern w:val="0"/>
                <w:szCs w:val="21"/>
              </w:rPr>
            </w:pPr>
            <w:r>
              <w:rPr>
                <w:rFonts w:hint="eastAsia" w:ascii="仿宋_GB2312" w:hAnsi="仿宋_GB2312" w:eastAsia="仿宋_GB2312" w:cs="仿宋_GB2312"/>
                <w:b w:val="0"/>
                <w:bCs w:val="0"/>
                <w:kern w:val="0"/>
                <w:szCs w:val="21"/>
              </w:rPr>
              <w:t>22</w:t>
            </w:r>
          </w:p>
        </w:tc>
        <w:tc>
          <w:tcPr>
            <w:tcW w:w="7748" w:type="dxa"/>
            <w:vAlign w:val="center"/>
          </w:tcPr>
          <w:p>
            <w:pPr>
              <w:widowControl/>
              <w:spacing w:line="320" w:lineRule="exact"/>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病原微生物-结核分枝杆菌的分离与鉴定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6" w:type="dxa"/>
            <w:vAlign w:val="center"/>
          </w:tcPr>
          <w:p>
            <w:pPr>
              <w:widowControl/>
              <w:spacing w:line="320" w:lineRule="exact"/>
              <w:ind w:left="0" w:leftChars="0" w:right="0" w:rightChars="0" w:firstLine="0" w:firstLineChars="0"/>
              <w:jc w:val="center"/>
              <w:rPr>
                <w:rFonts w:hint="eastAsia" w:ascii="仿宋_GB2312" w:hAnsi="仿宋_GB2312" w:eastAsia="仿宋_GB2312" w:cs="仿宋_GB2312"/>
                <w:b w:val="0"/>
                <w:bCs w:val="0"/>
                <w:kern w:val="0"/>
                <w:szCs w:val="21"/>
              </w:rPr>
            </w:pPr>
            <w:r>
              <w:rPr>
                <w:rFonts w:hint="eastAsia" w:ascii="仿宋_GB2312" w:hAnsi="仿宋_GB2312" w:eastAsia="仿宋_GB2312" w:cs="仿宋_GB2312"/>
                <w:b w:val="0"/>
                <w:bCs w:val="0"/>
                <w:kern w:val="0"/>
                <w:szCs w:val="21"/>
              </w:rPr>
              <w:t>23</w:t>
            </w:r>
          </w:p>
        </w:tc>
        <w:tc>
          <w:tcPr>
            <w:tcW w:w="7748" w:type="dxa"/>
            <w:vAlign w:val="center"/>
          </w:tcPr>
          <w:p>
            <w:pPr>
              <w:widowControl/>
              <w:spacing w:line="320" w:lineRule="exact"/>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病原微生物-流感病毒的分离培养与鉴定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6" w:type="dxa"/>
            <w:vAlign w:val="center"/>
          </w:tcPr>
          <w:p>
            <w:pPr>
              <w:widowControl/>
              <w:spacing w:line="320" w:lineRule="exact"/>
              <w:ind w:left="0" w:leftChars="0" w:right="0" w:rightChars="0" w:firstLine="0" w:firstLineChars="0"/>
              <w:jc w:val="center"/>
              <w:rPr>
                <w:rFonts w:hint="eastAsia" w:ascii="仿宋_GB2312" w:hAnsi="仿宋_GB2312" w:eastAsia="仿宋_GB2312" w:cs="仿宋_GB2312"/>
                <w:b w:val="0"/>
                <w:bCs w:val="0"/>
                <w:kern w:val="0"/>
                <w:szCs w:val="21"/>
              </w:rPr>
            </w:pPr>
            <w:r>
              <w:rPr>
                <w:rFonts w:hint="eastAsia" w:ascii="仿宋_GB2312" w:hAnsi="仿宋_GB2312" w:eastAsia="仿宋_GB2312" w:cs="仿宋_GB2312"/>
                <w:b w:val="0"/>
                <w:bCs w:val="0"/>
                <w:kern w:val="0"/>
                <w:szCs w:val="21"/>
              </w:rPr>
              <w:t>24</w:t>
            </w:r>
          </w:p>
        </w:tc>
        <w:tc>
          <w:tcPr>
            <w:tcW w:w="7748" w:type="dxa"/>
            <w:vAlign w:val="center"/>
          </w:tcPr>
          <w:p>
            <w:pPr>
              <w:widowControl/>
              <w:spacing w:line="320" w:lineRule="exact"/>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病原微生物-丙型肝炎病毒的定量检测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6" w:type="dxa"/>
            <w:vAlign w:val="center"/>
          </w:tcPr>
          <w:p>
            <w:pPr>
              <w:widowControl/>
              <w:spacing w:line="320" w:lineRule="exact"/>
              <w:ind w:left="0" w:leftChars="0" w:right="0" w:rightChars="0" w:firstLine="0" w:firstLineChars="0"/>
              <w:jc w:val="center"/>
              <w:rPr>
                <w:rFonts w:hint="eastAsia" w:ascii="仿宋_GB2312" w:hAnsi="仿宋_GB2312" w:eastAsia="仿宋_GB2312" w:cs="仿宋_GB2312"/>
                <w:b w:val="0"/>
                <w:bCs w:val="0"/>
                <w:kern w:val="0"/>
                <w:szCs w:val="21"/>
              </w:rPr>
            </w:pPr>
            <w:r>
              <w:rPr>
                <w:rFonts w:hint="eastAsia" w:ascii="仿宋_GB2312" w:hAnsi="仿宋_GB2312" w:eastAsia="仿宋_GB2312" w:cs="仿宋_GB2312"/>
                <w:b w:val="0"/>
                <w:bCs w:val="0"/>
                <w:kern w:val="0"/>
                <w:szCs w:val="21"/>
              </w:rPr>
              <w:t>25</w:t>
            </w:r>
          </w:p>
        </w:tc>
        <w:tc>
          <w:tcPr>
            <w:tcW w:w="7748" w:type="dxa"/>
            <w:vAlign w:val="center"/>
          </w:tcPr>
          <w:p>
            <w:pPr>
              <w:widowControl/>
              <w:spacing w:line="320" w:lineRule="exact"/>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病原微生物-乙肝病毒DNA定量检测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6" w:type="dxa"/>
            <w:vAlign w:val="center"/>
          </w:tcPr>
          <w:p>
            <w:pPr>
              <w:widowControl/>
              <w:spacing w:line="320" w:lineRule="exact"/>
              <w:ind w:left="0" w:leftChars="0" w:right="0" w:rightChars="0" w:firstLine="0" w:firstLineChars="0"/>
              <w:jc w:val="center"/>
              <w:rPr>
                <w:rFonts w:hint="eastAsia" w:ascii="仿宋_GB2312" w:hAnsi="仿宋_GB2312" w:eastAsia="仿宋_GB2312" w:cs="仿宋_GB2312"/>
                <w:b w:val="0"/>
                <w:bCs w:val="0"/>
                <w:kern w:val="0"/>
                <w:szCs w:val="21"/>
              </w:rPr>
            </w:pPr>
            <w:r>
              <w:rPr>
                <w:rFonts w:hint="eastAsia" w:ascii="仿宋_GB2312" w:hAnsi="仿宋_GB2312" w:eastAsia="仿宋_GB2312" w:cs="仿宋_GB2312"/>
                <w:b w:val="0"/>
                <w:bCs w:val="0"/>
                <w:kern w:val="0"/>
                <w:szCs w:val="21"/>
              </w:rPr>
              <w:t>26</w:t>
            </w:r>
          </w:p>
        </w:tc>
        <w:tc>
          <w:tcPr>
            <w:tcW w:w="7748" w:type="dxa"/>
            <w:vAlign w:val="center"/>
          </w:tcPr>
          <w:p>
            <w:pPr>
              <w:widowControl/>
              <w:spacing w:line="320" w:lineRule="exact"/>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病原微生物-布鲁氏菌病患者血液中病原分子诊断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6" w:type="dxa"/>
            <w:vAlign w:val="center"/>
          </w:tcPr>
          <w:p>
            <w:pPr>
              <w:widowControl/>
              <w:spacing w:line="320" w:lineRule="exact"/>
              <w:ind w:left="0" w:leftChars="0" w:right="0" w:rightChars="0" w:firstLine="0" w:firstLineChars="0"/>
              <w:jc w:val="center"/>
              <w:rPr>
                <w:rFonts w:hint="eastAsia" w:ascii="仿宋_GB2312" w:hAnsi="仿宋_GB2312" w:eastAsia="仿宋_GB2312" w:cs="仿宋_GB2312"/>
                <w:b w:val="0"/>
                <w:bCs w:val="0"/>
                <w:kern w:val="0"/>
                <w:szCs w:val="21"/>
              </w:rPr>
            </w:pPr>
            <w:r>
              <w:rPr>
                <w:rFonts w:hint="eastAsia" w:ascii="仿宋_GB2312" w:hAnsi="仿宋_GB2312" w:eastAsia="仿宋_GB2312" w:cs="仿宋_GB2312"/>
                <w:b w:val="0"/>
                <w:bCs w:val="0"/>
                <w:kern w:val="0"/>
                <w:szCs w:val="21"/>
              </w:rPr>
              <w:t>27</w:t>
            </w:r>
          </w:p>
        </w:tc>
        <w:tc>
          <w:tcPr>
            <w:tcW w:w="7748" w:type="dxa"/>
            <w:vAlign w:val="center"/>
          </w:tcPr>
          <w:p>
            <w:pPr>
              <w:widowControl/>
              <w:spacing w:line="320" w:lineRule="exact"/>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遗传学-质粒DNA的提取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6" w:type="dxa"/>
            <w:vAlign w:val="center"/>
          </w:tcPr>
          <w:p>
            <w:pPr>
              <w:widowControl/>
              <w:spacing w:line="320" w:lineRule="exact"/>
              <w:ind w:left="0" w:leftChars="0" w:right="0" w:rightChars="0" w:firstLine="0" w:firstLineChars="0"/>
              <w:jc w:val="center"/>
              <w:rPr>
                <w:rFonts w:hint="eastAsia" w:ascii="仿宋_GB2312" w:hAnsi="仿宋_GB2312" w:eastAsia="仿宋_GB2312" w:cs="仿宋_GB2312"/>
                <w:b w:val="0"/>
                <w:bCs w:val="0"/>
                <w:kern w:val="0"/>
                <w:szCs w:val="21"/>
              </w:rPr>
            </w:pPr>
            <w:r>
              <w:rPr>
                <w:rFonts w:hint="eastAsia" w:ascii="仿宋_GB2312" w:hAnsi="仿宋_GB2312" w:eastAsia="仿宋_GB2312" w:cs="仿宋_GB2312"/>
                <w:b w:val="0"/>
                <w:bCs w:val="0"/>
                <w:kern w:val="0"/>
                <w:szCs w:val="21"/>
              </w:rPr>
              <w:t>28</w:t>
            </w:r>
          </w:p>
        </w:tc>
        <w:tc>
          <w:tcPr>
            <w:tcW w:w="7748" w:type="dxa"/>
            <w:vAlign w:val="center"/>
          </w:tcPr>
          <w:p>
            <w:pPr>
              <w:widowControl/>
              <w:spacing w:line="320" w:lineRule="exact"/>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遗传学-质粒DNA的酶切鉴定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6" w:type="dxa"/>
            <w:vAlign w:val="center"/>
          </w:tcPr>
          <w:p>
            <w:pPr>
              <w:widowControl/>
              <w:spacing w:line="320" w:lineRule="exact"/>
              <w:ind w:left="0" w:leftChars="0" w:right="0" w:rightChars="0" w:firstLine="0" w:firstLineChars="0"/>
              <w:jc w:val="center"/>
              <w:rPr>
                <w:rFonts w:hint="eastAsia" w:ascii="仿宋_GB2312" w:hAnsi="仿宋_GB2312" w:eastAsia="仿宋_GB2312" w:cs="仿宋_GB2312"/>
                <w:b w:val="0"/>
                <w:bCs w:val="0"/>
                <w:kern w:val="0"/>
                <w:szCs w:val="21"/>
              </w:rPr>
            </w:pPr>
            <w:r>
              <w:rPr>
                <w:rFonts w:hint="eastAsia" w:ascii="仿宋_GB2312" w:hAnsi="仿宋_GB2312" w:eastAsia="仿宋_GB2312" w:cs="仿宋_GB2312"/>
                <w:b w:val="0"/>
                <w:bCs w:val="0"/>
                <w:kern w:val="0"/>
                <w:szCs w:val="21"/>
              </w:rPr>
              <w:t>29</w:t>
            </w:r>
          </w:p>
        </w:tc>
        <w:tc>
          <w:tcPr>
            <w:tcW w:w="7748" w:type="dxa"/>
            <w:vAlign w:val="center"/>
          </w:tcPr>
          <w:p>
            <w:pPr>
              <w:widowControl/>
              <w:spacing w:line="320" w:lineRule="exact"/>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遗传学-疾病的遗传学研究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6" w:type="dxa"/>
            <w:vAlign w:val="center"/>
          </w:tcPr>
          <w:p>
            <w:pPr>
              <w:widowControl/>
              <w:spacing w:line="320" w:lineRule="exact"/>
              <w:ind w:left="0" w:leftChars="0" w:right="0" w:rightChars="0" w:firstLine="0" w:firstLineChars="0"/>
              <w:jc w:val="center"/>
              <w:rPr>
                <w:rFonts w:hint="eastAsia" w:ascii="仿宋_GB2312" w:hAnsi="仿宋_GB2312" w:eastAsia="仿宋_GB2312" w:cs="仿宋_GB2312"/>
                <w:b w:val="0"/>
                <w:bCs w:val="0"/>
                <w:kern w:val="0"/>
                <w:szCs w:val="21"/>
              </w:rPr>
            </w:pPr>
            <w:r>
              <w:rPr>
                <w:rFonts w:hint="eastAsia" w:ascii="仿宋_GB2312" w:hAnsi="仿宋_GB2312" w:eastAsia="仿宋_GB2312" w:cs="仿宋_GB2312"/>
                <w:b w:val="0"/>
                <w:bCs w:val="0"/>
                <w:kern w:val="0"/>
                <w:szCs w:val="21"/>
              </w:rPr>
              <w:t>30</w:t>
            </w:r>
          </w:p>
        </w:tc>
        <w:tc>
          <w:tcPr>
            <w:tcW w:w="7748" w:type="dxa"/>
            <w:vAlign w:val="center"/>
          </w:tcPr>
          <w:p>
            <w:pPr>
              <w:widowControl/>
              <w:spacing w:line="320" w:lineRule="exact"/>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遗传学-基因表达概述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6" w:type="dxa"/>
            <w:vAlign w:val="center"/>
          </w:tcPr>
          <w:p>
            <w:pPr>
              <w:widowControl/>
              <w:spacing w:line="320" w:lineRule="exact"/>
              <w:ind w:left="0" w:leftChars="0" w:right="0" w:rightChars="0" w:firstLine="0" w:firstLineChars="0"/>
              <w:jc w:val="center"/>
              <w:rPr>
                <w:rFonts w:hint="eastAsia" w:ascii="仿宋_GB2312" w:hAnsi="仿宋_GB2312" w:eastAsia="仿宋_GB2312" w:cs="仿宋_GB2312"/>
                <w:b w:val="0"/>
                <w:bCs w:val="0"/>
                <w:kern w:val="0"/>
                <w:szCs w:val="21"/>
              </w:rPr>
            </w:pPr>
            <w:r>
              <w:rPr>
                <w:rFonts w:hint="eastAsia" w:ascii="仿宋_GB2312" w:hAnsi="仿宋_GB2312" w:eastAsia="仿宋_GB2312" w:cs="仿宋_GB2312"/>
                <w:b w:val="0"/>
                <w:bCs w:val="0"/>
                <w:kern w:val="0"/>
                <w:szCs w:val="21"/>
              </w:rPr>
              <w:t>31</w:t>
            </w:r>
          </w:p>
        </w:tc>
        <w:tc>
          <w:tcPr>
            <w:tcW w:w="7748" w:type="dxa"/>
            <w:vAlign w:val="center"/>
          </w:tcPr>
          <w:p>
            <w:pPr>
              <w:widowControl/>
              <w:spacing w:line="320" w:lineRule="exact"/>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遗传学-染色质共沉淀技术检测蛋白-DNA相互作用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6" w:type="dxa"/>
            <w:vAlign w:val="center"/>
          </w:tcPr>
          <w:p>
            <w:pPr>
              <w:widowControl/>
              <w:spacing w:line="320" w:lineRule="exact"/>
              <w:ind w:left="0" w:leftChars="0" w:right="0" w:rightChars="0" w:firstLine="0" w:firstLineChars="0"/>
              <w:jc w:val="center"/>
              <w:rPr>
                <w:rFonts w:hint="eastAsia" w:ascii="仿宋_GB2312" w:hAnsi="仿宋_GB2312" w:eastAsia="仿宋_GB2312" w:cs="仿宋_GB2312"/>
                <w:b w:val="0"/>
                <w:bCs w:val="0"/>
                <w:kern w:val="0"/>
                <w:szCs w:val="21"/>
              </w:rPr>
            </w:pPr>
            <w:r>
              <w:rPr>
                <w:rFonts w:hint="eastAsia" w:ascii="仿宋_GB2312" w:hAnsi="仿宋_GB2312" w:eastAsia="仿宋_GB2312" w:cs="仿宋_GB2312"/>
                <w:b w:val="0"/>
                <w:bCs w:val="0"/>
                <w:kern w:val="0"/>
                <w:szCs w:val="21"/>
              </w:rPr>
              <w:t>32</w:t>
            </w:r>
          </w:p>
        </w:tc>
        <w:tc>
          <w:tcPr>
            <w:tcW w:w="7748" w:type="dxa"/>
            <w:vAlign w:val="center"/>
          </w:tcPr>
          <w:p>
            <w:pPr>
              <w:widowControl/>
              <w:spacing w:line="320" w:lineRule="exact"/>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遗传学-斑马鱼发育相关基因pnas4时间表达谱构建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6" w:type="dxa"/>
            <w:vAlign w:val="center"/>
          </w:tcPr>
          <w:p>
            <w:pPr>
              <w:widowControl/>
              <w:spacing w:line="320" w:lineRule="exact"/>
              <w:ind w:left="0" w:leftChars="0" w:right="0" w:rightChars="0" w:firstLine="0" w:firstLineChars="0"/>
              <w:jc w:val="center"/>
              <w:rPr>
                <w:rFonts w:hint="eastAsia" w:ascii="仿宋_GB2312" w:hAnsi="仿宋_GB2312" w:eastAsia="仿宋_GB2312" w:cs="仿宋_GB2312"/>
                <w:b w:val="0"/>
                <w:bCs w:val="0"/>
                <w:kern w:val="0"/>
                <w:szCs w:val="21"/>
              </w:rPr>
            </w:pPr>
            <w:r>
              <w:rPr>
                <w:rFonts w:hint="eastAsia" w:ascii="仿宋_GB2312" w:hAnsi="仿宋_GB2312" w:eastAsia="仿宋_GB2312" w:cs="仿宋_GB2312"/>
                <w:b w:val="0"/>
                <w:bCs w:val="0"/>
                <w:kern w:val="0"/>
                <w:szCs w:val="21"/>
              </w:rPr>
              <w:t>33</w:t>
            </w:r>
          </w:p>
        </w:tc>
        <w:tc>
          <w:tcPr>
            <w:tcW w:w="7748" w:type="dxa"/>
            <w:vAlign w:val="center"/>
          </w:tcPr>
          <w:p>
            <w:pPr>
              <w:widowControl/>
              <w:spacing w:line="320" w:lineRule="exact"/>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细胞生物学-Bradford法测定蛋白质浓度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6" w:type="dxa"/>
            <w:vAlign w:val="center"/>
          </w:tcPr>
          <w:p>
            <w:pPr>
              <w:widowControl/>
              <w:spacing w:line="320" w:lineRule="exact"/>
              <w:ind w:left="0" w:leftChars="0" w:right="0" w:rightChars="0" w:firstLine="0" w:firstLineChars="0"/>
              <w:jc w:val="center"/>
              <w:rPr>
                <w:rFonts w:hint="eastAsia" w:ascii="仿宋_GB2312" w:hAnsi="仿宋_GB2312" w:eastAsia="仿宋_GB2312" w:cs="仿宋_GB2312"/>
                <w:b w:val="0"/>
                <w:bCs w:val="0"/>
                <w:kern w:val="0"/>
                <w:szCs w:val="21"/>
              </w:rPr>
            </w:pPr>
            <w:r>
              <w:rPr>
                <w:rFonts w:hint="eastAsia" w:ascii="仿宋_GB2312" w:hAnsi="仿宋_GB2312" w:eastAsia="仿宋_GB2312" w:cs="仿宋_GB2312"/>
                <w:b w:val="0"/>
                <w:bCs w:val="0"/>
                <w:kern w:val="0"/>
                <w:szCs w:val="21"/>
              </w:rPr>
              <w:t>34</w:t>
            </w:r>
          </w:p>
        </w:tc>
        <w:tc>
          <w:tcPr>
            <w:tcW w:w="7748" w:type="dxa"/>
            <w:vAlign w:val="center"/>
          </w:tcPr>
          <w:p>
            <w:pPr>
              <w:widowControl/>
              <w:spacing w:line="320" w:lineRule="exact"/>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细胞生物学-流式细胞仪分析细胞周期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6" w:type="dxa"/>
            <w:vAlign w:val="center"/>
          </w:tcPr>
          <w:p>
            <w:pPr>
              <w:widowControl/>
              <w:spacing w:line="320" w:lineRule="exact"/>
              <w:ind w:left="0" w:leftChars="0" w:right="0" w:rightChars="0" w:firstLine="0" w:firstLineChars="0"/>
              <w:jc w:val="center"/>
              <w:rPr>
                <w:rFonts w:hint="eastAsia" w:ascii="仿宋_GB2312" w:hAnsi="仿宋_GB2312" w:eastAsia="仿宋_GB2312" w:cs="仿宋_GB2312"/>
                <w:b w:val="0"/>
                <w:bCs w:val="0"/>
                <w:kern w:val="0"/>
                <w:szCs w:val="21"/>
              </w:rPr>
            </w:pPr>
            <w:r>
              <w:rPr>
                <w:rFonts w:hint="eastAsia" w:ascii="仿宋_GB2312" w:hAnsi="仿宋_GB2312" w:eastAsia="仿宋_GB2312" w:cs="仿宋_GB2312"/>
                <w:b w:val="0"/>
                <w:bCs w:val="0"/>
                <w:kern w:val="0"/>
                <w:szCs w:val="21"/>
              </w:rPr>
              <w:t>35</w:t>
            </w:r>
          </w:p>
        </w:tc>
        <w:tc>
          <w:tcPr>
            <w:tcW w:w="7748" w:type="dxa"/>
            <w:vAlign w:val="center"/>
          </w:tcPr>
          <w:p>
            <w:pPr>
              <w:widowControl/>
              <w:spacing w:line="320" w:lineRule="exact"/>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细胞生物学-细胞内活性氧荧光值的动态变化参数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6" w:type="dxa"/>
            <w:vAlign w:val="center"/>
          </w:tcPr>
          <w:p>
            <w:pPr>
              <w:widowControl/>
              <w:spacing w:line="320" w:lineRule="exact"/>
              <w:ind w:left="0" w:leftChars="0" w:right="0" w:rightChars="0" w:firstLine="0" w:firstLineChars="0"/>
              <w:jc w:val="center"/>
              <w:rPr>
                <w:rFonts w:hint="eastAsia" w:ascii="仿宋_GB2312" w:hAnsi="仿宋_GB2312" w:eastAsia="仿宋_GB2312" w:cs="仿宋_GB2312"/>
                <w:b w:val="0"/>
                <w:bCs w:val="0"/>
                <w:kern w:val="0"/>
                <w:szCs w:val="21"/>
              </w:rPr>
            </w:pPr>
            <w:r>
              <w:rPr>
                <w:rFonts w:hint="eastAsia" w:ascii="仿宋_GB2312" w:hAnsi="仿宋_GB2312" w:eastAsia="仿宋_GB2312" w:cs="仿宋_GB2312"/>
                <w:b w:val="0"/>
                <w:bCs w:val="0"/>
                <w:kern w:val="0"/>
                <w:szCs w:val="21"/>
              </w:rPr>
              <w:t>36</w:t>
            </w:r>
          </w:p>
        </w:tc>
        <w:tc>
          <w:tcPr>
            <w:tcW w:w="7748" w:type="dxa"/>
            <w:vAlign w:val="center"/>
          </w:tcPr>
          <w:p>
            <w:pPr>
              <w:widowControl/>
              <w:spacing w:line="320" w:lineRule="exact"/>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细胞生物学-细胞样本的总RNA提取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6" w:type="dxa"/>
            <w:vAlign w:val="center"/>
          </w:tcPr>
          <w:p>
            <w:pPr>
              <w:widowControl/>
              <w:spacing w:line="320" w:lineRule="exact"/>
              <w:ind w:left="0" w:leftChars="0" w:right="0" w:rightChars="0" w:firstLine="0" w:firstLineChars="0"/>
              <w:jc w:val="center"/>
              <w:rPr>
                <w:rFonts w:hint="eastAsia" w:ascii="仿宋_GB2312" w:hAnsi="仿宋_GB2312" w:eastAsia="仿宋_GB2312" w:cs="仿宋_GB2312"/>
                <w:b w:val="0"/>
                <w:bCs w:val="0"/>
                <w:kern w:val="0"/>
                <w:szCs w:val="21"/>
              </w:rPr>
            </w:pPr>
            <w:r>
              <w:rPr>
                <w:rFonts w:hint="eastAsia" w:ascii="仿宋_GB2312" w:hAnsi="仿宋_GB2312" w:eastAsia="仿宋_GB2312" w:cs="仿宋_GB2312"/>
                <w:b w:val="0"/>
                <w:bCs w:val="0"/>
                <w:kern w:val="0"/>
                <w:szCs w:val="21"/>
              </w:rPr>
              <w:t>37</w:t>
            </w:r>
          </w:p>
        </w:tc>
        <w:tc>
          <w:tcPr>
            <w:tcW w:w="7748" w:type="dxa"/>
            <w:vAlign w:val="center"/>
          </w:tcPr>
          <w:p>
            <w:pPr>
              <w:widowControl/>
              <w:spacing w:line="320" w:lineRule="exact"/>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细胞生物学-用CCK-8试剂盒检测细胞增殖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6" w:type="dxa"/>
            <w:vAlign w:val="center"/>
          </w:tcPr>
          <w:p>
            <w:pPr>
              <w:widowControl/>
              <w:spacing w:line="320" w:lineRule="exact"/>
              <w:ind w:left="0" w:leftChars="0" w:right="0" w:rightChars="0" w:firstLine="0" w:firstLineChars="0"/>
              <w:jc w:val="center"/>
              <w:rPr>
                <w:rFonts w:hint="eastAsia" w:ascii="仿宋_GB2312" w:hAnsi="仿宋_GB2312" w:eastAsia="仿宋_GB2312" w:cs="仿宋_GB2312"/>
                <w:b w:val="0"/>
                <w:bCs w:val="0"/>
                <w:kern w:val="0"/>
                <w:szCs w:val="21"/>
              </w:rPr>
            </w:pPr>
            <w:r>
              <w:rPr>
                <w:rFonts w:hint="eastAsia" w:ascii="仿宋_GB2312" w:hAnsi="仿宋_GB2312" w:eastAsia="仿宋_GB2312" w:cs="仿宋_GB2312"/>
                <w:b w:val="0"/>
                <w:bCs w:val="0"/>
                <w:kern w:val="0"/>
                <w:szCs w:val="21"/>
              </w:rPr>
              <w:t>38</w:t>
            </w:r>
          </w:p>
        </w:tc>
        <w:tc>
          <w:tcPr>
            <w:tcW w:w="7748" w:type="dxa"/>
            <w:vAlign w:val="center"/>
          </w:tcPr>
          <w:p>
            <w:pPr>
              <w:widowControl/>
              <w:spacing w:line="320" w:lineRule="exact"/>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细胞生物学-醋酸纤维素薄膜电泳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6" w:type="dxa"/>
            <w:vAlign w:val="center"/>
          </w:tcPr>
          <w:p>
            <w:pPr>
              <w:widowControl/>
              <w:spacing w:line="320" w:lineRule="exact"/>
              <w:ind w:left="0" w:leftChars="0" w:right="0" w:rightChars="0" w:firstLine="0" w:firstLineChars="0"/>
              <w:jc w:val="center"/>
              <w:rPr>
                <w:rFonts w:hint="eastAsia" w:ascii="仿宋_GB2312" w:hAnsi="仿宋_GB2312" w:eastAsia="仿宋_GB2312" w:cs="仿宋_GB2312"/>
                <w:b w:val="0"/>
                <w:bCs w:val="0"/>
                <w:kern w:val="0"/>
                <w:szCs w:val="21"/>
              </w:rPr>
            </w:pPr>
            <w:r>
              <w:rPr>
                <w:rFonts w:hint="eastAsia" w:ascii="仿宋_GB2312" w:hAnsi="仿宋_GB2312" w:eastAsia="仿宋_GB2312" w:cs="仿宋_GB2312"/>
                <w:b w:val="0"/>
                <w:bCs w:val="0"/>
                <w:kern w:val="0"/>
                <w:szCs w:val="21"/>
              </w:rPr>
              <w:t>39</w:t>
            </w:r>
          </w:p>
        </w:tc>
        <w:tc>
          <w:tcPr>
            <w:tcW w:w="7748" w:type="dxa"/>
            <w:vAlign w:val="center"/>
          </w:tcPr>
          <w:p>
            <w:pPr>
              <w:widowControl/>
              <w:spacing w:line="320" w:lineRule="exact"/>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细胞生物学-酶谱法测定MMP-2与MMP-9活性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6" w:type="dxa"/>
            <w:vAlign w:val="center"/>
          </w:tcPr>
          <w:p>
            <w:pPr>
              <w:widowControl/>
              <w:spacing w:line="320" w:lineRule="exact"/>
              <w:ind w:left="0" w:leftChars="0" w:right="0" w:rightChars="0" w:firstLine="0" w:firstLineChars="0"/>
              <w:jc w:val="center"/>
              <w:rPr>
                <w:rFonts w:hint="eastAsia" w:ascii="仿宋_GB2312" w:hAnsi="仿宋_GB2312" w:eastAsia="仿宋_GB2312" w:cs="仿宋_GB2312"/>
                <w:b w:val="0"/>
                <w:bCs w:val="0"/>
                <w:kern w:val="0"/>
                <w:szCs w:val="21"/>
              </w:rPr>
            </w:pPr>
            <w:r>
              <w:rPr>
                <w:rFonts w:hint="eastAsia" w:ascii="仿宋_GB2312" w:hAnsi="仿宋_GB2312" w:eastAsia="仿宋_GB2312" w:cs="仿宋_GB2312"/>
                <w:b w:val="0"/>
                <w:bCs w:val="0"/>
                <w:kern w:val="0"/>
                <w:szCs w:val="21"/>
              </w:rPr>
              <w:t>40</w:t>
            </w:r>
          </w:p>
        </w:tc>
        <w:tc>
          <w:tcPr>
            <w:tcW w:w="7748" w:type="dxa"/>
            <w:vAlign w:val="center"/>
          </w:tcPr>
          <w:p>
            <w:pPr>
              <w:widowControl/>
              <w:spacing w:line="320" w:lineRule="exact"/>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生化与分子生物学-血细胞计数板计数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6" w:type="dxa"/>
            <w:vAlign w:val="center"/>
          </w:tcPr>
          <w:p>
            <w:pPr>
              <w:widowControl/>
              <w:spacing w:line="320" w:lineRule="exact"/>
              <w:ind w:left="0" w:leftChars="0" w:right="0" w:rightChars="0" w:firstLine="0" w:firstLineChars="0"/>
              <w:jc w:val="center"/>
              <w:rPr>
                <w:rFonts w:hint="eastAsia" w:ascii="仿宋_GB2312" w:hAnsi="仿宋_GB2312" w:eastAsia="仿宋_GB2312" w:cs="仿宋_GB2312"/>
                <w:b w:val="0"/>
                <w:bCs w:val="0"/>
                <w:kern w:val="0"/>
                <w:szCs w:val="21"/>
              </w:rPr>
            </w:pPr>
            <w:r>
              <w:rPr>
                <w:rFonts w:hint="eastAsia" w:ascii="仿宋_GB2312" w:hAnsi="仿宋_GB2312" w:eastAsia="仿宋_GB2312" w:cs="仿宋_GB2312"/>
                <w:b w:val="0"/>
                <w:bCs w:val="0"/>
                <w:kern w:val="0"/>
                <w:szCs w:val="21"/>
              </w:rPr>
              <w:t>41</w:t>
            </w:r>
          </w:p>
        </w:tc>
        <w:tc>
          <w:tcPr>
            <w:tcW w:w="7748" w:type="dxa"/>
            <w:vAlign w:val="center"/>
          </w:tcPr>
          <w:p>
            <w:pPr>
              <w:widowControl/>
              <w:spacing w:line="320" w:lineRule="exact"/>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生化与分子生物学-BCA法测定蛋白质浓度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6" w:type="dxa"/>
            <w:vAlign w:val="center"/>
          </w:tcPr>
          <w:p>
            <w:pPr>
              <w:widowControl/>
              <w:spacing w:line="320" w:lineRule="exact"/>
              <w:ind w:left="0" w:leftChars="0" w:right="0" w:rightChars="0" w:firstLine="0" w:firstLineChars="0"/>
              <w:jc w:val="center"/>
              <w:rPr>
                <w:rFonts w:hint="eastAsia" w:ascii="仿宋_GB2312" w:hAnsi="仿宋_GB2312" w:eastAsia="仿宋_GB2312" w:cs="仿宋_GB2312"/>
                <w:b w:val="0"/>
                <w:bCs w:val="0"/>
                <w:kern w:val="0"/>
                <w:szCs w:val="21"/>
              </w:rPr>
            </w:pPr>
            <w:r>
              <w:rPr>
                <w:rFonts w:hint="eastAsia" w:ascii="仿宋_GB2312" w:hAnsi="仿宋_GB2312" w:eastAsia="仿宋_GB2312" w:cs="仿宋_GB2312"/>
                <w:b w:val="0"/>
                <w:bCs w:val="0"/>
                <w:kern w:val="0"/>
                <w:szCs w:val="21"/>
              </w:rPr>
              <w:t>42</w:t>
            </w:r>
          </w:p>
        </w:tc>
        <w:tc>
          <w:tcPr>
            <w:tcW w:w="7748" w:type="dxa"/>
            <w:vAlign w:val="center"/>
          </w:tcPr>
          <w:p>
            <w:pPr>
              <w:widowControl/>
              <w:spacing w:line="320" w:lineRule="exact"/>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生化与分子生物学-实时荧光定量PCR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6" w:type="dxa"/>
            <w:vAlign w:val="center"/>
          </w:tcPr>
          <w:p>
            <w:pPr>
              <w:widowControl/>
              <w:spacing w:line="320" w:lineRule="exact"/>
              <w:ind w:left="0" w:leftChars="0" w:right="0" w:rightChars="0" w:firstLine="0" w:firstLineChars="0"/>
              <w:jc w:val="center"/>
              <w:rPr>
                <w:rFonts w:hint="eastAsia" w:ascii="仿宋_GB2312" w:hAnsi="仿宋_GB2312" w:eastAsia="仿宋_GB2312" w:cs="仿宋_GB2312"/>
                <w:b w:val="0"/>
                <w:bCs w:val="0"/>
                <w:kern w:val="0"/>
                <w:szCs w:val="21"/>
              </w:rPr>
            </w:pPr>
            <w:r>
              <w:rPr>
                <w:rFonts w:hint="eastAsia" w:ascii="仿宋_GB2312" w:hAnsi="仿宋_GB2312" w:eastAsia="仿宋_GB2312" w:cs="仿宋_GB2312"/>
                <w:b w:val="0"/>
                <w:bCs w:val="0"/>
                <w:kern w:val="0"/>
                <w:szCs w:val="21"/>
              </w:rPr>
              <w:t>43</w:t>
            </w:r>
          </w:p>
        </w:tc>
        <w:tc>
          <w:tcPr>
            <w:tcW w:w="7748" w:type="dxa"/>
            <w:vAlign w:val="center"/>
          </w:tcPr>
          <w:p>
            <w:pPr>
              <w:widowControl/>
              <w:spacing w:line="320" w:lineRule="exact"/>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生化与分子生物学-基于壁细胞培养和菌群高通量测序的消化性溃疡虚拟仿真实验项目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6" w:type="dxa"/>
            <w:vAlign w:val="center"/>
          </w:tcPr>
          <w:p>
            <w:pPr>
              <w:widowControl/>
              <w:spacing w:line="320" w:lineRule="exact"/>
              <w:ind w:left="0" w:leftChars="0" w:right="0" w:rightChars="0" w:firstLine="0" w:firstLineChars="0"/>
              <w:jc w:val="center"/>
              <w:rPr>
                <w:rFonts w:hint="eastAsia" w:ascii="仿宋_GB2312" w:hAnsi="仿宋_GB2312" w:eastAsia="仿宋_GB2312" w:cs="仿宋_GB2312"/>
                <w:b w:val="0"/>
                <w:bCs w:val="0"/>
                <w:kern w:val="0"/>
                <w:szCs w:val="21"/>
              </w:rPr>
            </w:pPr>
            <w:r>
              <w:rPr>
                <w:rFonts w:hint="eastAsia" w:ascii="仿宋_GB2312" w:hAnsi="仿宋_GB2312" w:eastAsia="仿宋_GB2312" w:cs="仿宋_GB2312"/>
                <w:b w:val="0"/>
                <w:bCs w:val="0"/>
                <w:kern w:val="0"/>
                <w:szCs w:val="21"/>
              </w:rPr>
              <w:t>44</w:t>
            </w:r>
          </w:p>
        </w:tc>
        <w:tc>
          <w:tcPr>
            <w:tcW w:w="7748" w:type="dxa"/>
            <w:vAlign w:val="center"/>
          </w:tcPr>
          <w:p>
            <w:pPr>
              <w:widowControl/>
              <w:spacing w:line="320" w:lineRule="exact"/>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生化与分子生物学-WesternBlot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6" w:type="dxa"/>
            <w:vAlign w:val="center"/>
          </w:tcPr>
          <w:p>
            <w:pPr>
              <w:widowControl/>
              <w:spacing w:line="320" w:lineRule="exact"/>
              <w:ind w:left="0" w:leftChars="0" w:right="0" w:rightChars="0" w:firstLine="0" w:firstLineChars="0"/>
              <w:jc w:val="center"/>
              <w:rPr>
                <w:rFonts w:hint="eastAsia" w:ascii="仿宋_GB2312" w:hAnsi="仿宋_GB2312" w:eastAsia="仿宋_GB2312" w:cs="仿宋_GB2312"/>
                <w:b w:val="0"/>
                <w:bCs w:val="0"/>
                <w:kern w:val="0"/>
                <w:szCs w:val="21"/>
              </w:rPr>
            </w:pPr>
            <w:r>
              <w:rPr>
                <w:rFonts w:hint="eastAsia" w:ascii="仿宋_GB2312" w:hAnsi="仿宋_GB2312" w:eastAsia="仿宋_GB2312" w:cs="仿宋_GB2312"/>
                <w:b w:val="0"/>
                <w:bCs w:val="0"/>
                <w:kern w:val="0"/>
                <w:szCs w:val="21"/>
              </w:rPr>
              <w:t>45</w:t>
            </w:r>
          </w:p>
        </w:tc>
        <w:tc>
          <w:tcPr>
            <w:tcW w:w="7748" w:type="dxa"/>
            <w:vAlign w:val="center"/>
          </w:tcPr>
          <w:p>
            <w:pPr>
              <w:widowControl/>
              <w:spacing w:line="320" w:lineRule="exact"/>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免疫学-双向免疫扩散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6" w:type="dxa"/>
            <w:vAlign w:val="center"/>
          </w:tcPr>
          <w:p>
            <w:pPr>
              <w:widowControl/>
              <w:spacing w:line="320" w:lineRule="exact"/>
              <w:ind w:left="0" w:leftChars="0" w:right="0" w:rightChars="0" w:firstLine="0" w:firstLineChars="0"/>
              <w:jc w:val="center"/>
              <w:rPr>
                <w:rFonts w:hint="eastAsia" w:ascii="仿宋_GB2312" w:hAnsi="仿宋_GB2312" w:eastAsia="仿宋_GB2312" w:cs="仿宋_GB2312"/>
                <w:b w:val="0"/>
                <w:bCs w:val="0"/>
                <w:kern w:val="0"/>
                <w:szCs w:val="21"/>
              </w:rPr>
            </w:pPr>
            <w:r>
              <w:rPr>
                <w:rFonts w:hint="eastAsia" w:ascii="仿宋_GB2312" w:hAnsi="仿宋_GB2312" w:eastAsia="仿宋_GB2312" w:cs="仿宋_GB2312"/>
                <w:b w:val="0"/>
                <w:bCs w:val="0"/>
                <w:kern w:val="0"/>
                <w:szCs w:val="21"/>
              </w:rPr>
              <w:t>46</w:t>
            </w:r>
          </w:p>
        </w:tc>
        <w:tc>
          <w:tcPr>
            <w:tcW w:w="7748" w:type="dxa"/>
            <w:vAlign w:val="center"/>
          </w:tcPr>
          <w:p>
            <w:pPr>
              <w:widowControl/>
              <w:spacing w:line="320" w:lineRule="exact"/>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免疫学-细胞免疫检测技术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6" w:type="dxa"/>
            <w:vAlign w:val="center"/>
          </w:tcPr>
          <w:p>
            <w:pPr>
              <w:widowControl/>
              <w:spacing w:line="320" w:lineRule="exact"/>
              <w:ind w:left="0" w:leftChars="0" w:right="0" w:rightChars="0" w:firstLine="0" w:firstLineChars="0"/>
              <w:jc w:val="center"/>
              <w:rPr>
                <w:rFonts w:hint="eastAsia" w:ascii="仿宋_GB2312" w:hAnsi="仿宋_GB2312" w:eastAsia="仿宋_GB2312" w:cs="仿宋_GB2312"/>
                <w:b w:val="0"/>
                <w:bCs w:val="0"/>
                <w:kern w:val="0"/>
                <w:szCs w:val="21"/>
              </w:rPr>
            </w:pPr>
            <w:r>
              <w:rPr>
                <w:rFonts w:hint="eastAsia" w:ascii="仿宋_GB2312" w:hAnsi="仿宋_GB2312" w:eastAsia="仿宋_GB2312" w:cs="仿宋_GB2312"/>
                <w:b w:val="0"/>
                <w:bCs w:val="0"/>
                <w:kern w:val="0"/>
                <w:szCs w:val="21"/>
              </w:rPr>
              <w:t>47</w:t>
            </w:r>
          </w:p>
        </w:tc>
        <w:tc>
          <w:tcPr>
            <w:tcW w:w="7748" w:type="dxa"/>
            <w:vAlign w:val="center"/>
          </w:tcPr>
          <w:p>
            <w:pPr>
              <w:widowControl/>
              <w:spacing w:line="320" w:lineRule="exact"/>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免疫学-E花环形成实验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6" w:type="dxa"/>
            <w:vAlign w:val="center"/>
          </w:tcPr>
          <w:p>
            <w:pPr>
              <w:widowControl/>
              <w:spacing w:line="320" w:lineRule="exact"/>
              <w:ind w:left="0" w:leftChars="0" w:right="0" w:rightChars="0" w:firstLine="0" w:firstLineChars="0"/>
              <w:jc w:val="center"/>
              <w:rPr>
                <w:rFonts w:hint="eastAsia" w:ascii="仿宋_GB2312" w:hAnsi="仿宋_GB2312" w:eastAsia="仿宋_GB2312" w:cs="仿宋_GB2312"/>
                <w:b w:val="0"/>
                <w:bCs w:val="0"/>
                <w:kern w:val="0"/>
                <w:szCs w:val="21"/>
              </w:rPr>
            </w:pPr>
            <w:r>
              <w:rPr>
                <w:rFonts w:hint="eastAsia" w:ascii="仿宋_GB2312" w:hAnsi="仿宋_GB2312" w:eastAsia="仿宋_GB2312" w:cs="仿宋_GB2312"/>
                <w:b w:val="0"/>
                <w:bCs w:val="0"/>
                <w:kern w:val="0"/>
                <w:szCs w:val="21"/>
              </w:rPr>
              <w:t>48</w:t>
            </w:r>
          </w:p>
        </w:tc>
        <w:tc>
          <w:tcPr>
            <w:tcW w:w="7748" w:type="dxa"/>
            <w:vAlign w:val="center"/>
          </w:tcPr>
          <w:p>
            <w:pPr>
              <w:widowControl/>
              <w:spacing w:line="320" w:lineRule="exact"/>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免疫学-酶免疫组织化学染色技术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6" w:type="dxa"/>
            <w:vAlign w:val="center"/>
          </w:tcPr>
          <w:p>
            <w:pPr>
              <w:widowControl/>
              <w:spacing w:line="320" w:lineRule="exact"/>
              <w:ind w:left="0" w:leftChars="0" w:right="0" w:rightChars="0" w:firstLine="0" w:firstLineChars="0"/>
              <w:jc w:val="center"/>
              <w:rPr>
                <w:rFonts w:hint="eastAsia" w:ascii="仿宋_GB2312" w:hAnsi="仿宋_GB2312" w:eastAsia="仿宋_GB2312" w:cs="仿宋_GB2312"/>
                <w:b w:val="0"/>
                <w:bCs w:val="0"/>
                <w:kern w:val="0"/>
                <w:szCs w:val="21"/>
              </w:rPr>
            </w:pPr>
            <w:r>
              <w:rPr>
                <w:rFonts w:hint="eastAsia" w:ascii="仿宋_GB2312" w:hAnsi="仿宋_GB2312" w:eastAsia="仿宋_GB2312" w:cs="仿宋_GB2312"/>
                <w:b w:val="0"/>
                <w:bCs w:val="0"/>
                <w:kern w:val="0"/>
                <w:szCs w:val="21"/>
              </w:rPr>
              <w:t>49</w:t>
            </w:r>
          </w:p>
        </w:tc>
        <w:tc>
          <w:tcPr>
            <w:tcW w:w="7748" w:type="dxa"/>
            <w:vAlign w:val="center"/>
          </w:tcPr>
          <w:p>
            <w:pPr>
              <w:widowControl/>
              <w:spacing w:line="320" w:lineRule="exact"/>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免疫学-放射性同位素标记抗体技术</w:t>
            </w:r>
          </w:p>
        </w:tc>
      </w:tr>
      <w:bookmarkEnd w:id="1"/>
      <w:bookmarkEnd w:id="2"/>
    </w:tbl>
    <w:p>
      <w:pPr>
        <w:pStyle w:val="23"/>
        <w:ind w:firstLine="0" w:firstLineChars="0"/>
      </w:pPr>
      <w:bookmarkStart w:id="3" w:name="_Hlk118554532"/>
    </w:p>
    <w:p>
      <w:pPr>
        <w:pStyle w:val="23"/>
        <w:ind w:firstLine="653"/>
        <w:rPr>
          <w:b/>
          <w:bCs/>
          <w:sz w:val="32"/>
          <w:szCs w:val="32"/>
        </w:rPr>
      </w:pPr>
      <w:r>
        <w:rPr>
          <w:rFonts w:hint="eastAsia"/>
          <w:b/>
          <w:bCs/>
          <w:sz w:val="32"/>
          <w:szCs w:val="32"/>
        </w:rPr>
        <w:t>3.2 VR沉浸式虚拟仿真系统课程资源</w:t>
      </w:r>
    </w:p>
    <w:p>
      <w:pPr>
        <w:pStyle w:val="23"/>
        <w:ind w:firstLine="640"/>
        <w:rPr>
          <w:sz w:val="32"/>
          <w:szCs w:val="32"/>
        </w:rPr>
      </w:pPr>
      <w:bookmarkStart w:id="4" w:name="_Hlk118554556"/>
      <w:r>
        <w:rPr>
          <w:rFonts w:hint="eastAsia"/>
          <w:sz w:val="32"/>
          <w:szCs w:val="32"/>
        </w:rPr>
        <w:t>针对动物、细胞等实验教学项目，提供不少于3套的V</w:t>
      </w:r>
      <w:r>
        <w:rPr>
          <w:sz w:val="32"/>
          <w:szCs w:val="32"/>
        </w:rPr>
        <w:t>R</w:t>
      </w:r>
      <w:r>
        <w:rPr>
          <w:rFonts w:hint="eastAsia"/>
          <w:sz w:val="32"/>
          <w:szCs w:val="32"/>
        </w:rPr>
        <w:t>虚拟仿真系统实验课程资源（必须包含以下3套实验内容）：</w:t>
      </w:r>
    </w:p>
    <w:p>
      <w:pPr>
        <w:pStyle w:val="23"/>
        <w:ind w:firstLine="640"/>
        <w:rPr>
          <w:sz w:val="32"/>
          <w:szCs w:val="32"/>
        </w:rPr>
      </w:pPr>
      <w:r>
        <w:rPr>
          <w:rFonts w:hint="eastAsia"/>
          <w:sz w:val="32"/>
          <w:szCs w:val="32"/>
        </w:rPr>
        <w:t>3.2.1家兔急性肾功能衰竭虚拟仿真实验</w:t>
      </w:r>
    </w:p>
    <w:p>
      <w:pPr>
        <w:pStyle w:val="23"/>
        <w:ind w:firstLine="640"/>
        <w:rPr>
          <w:sz w:val="32"/>
          <w:szCs w:val="32"/>
        </w:rPr>
      </w:pPr>
      <w:r>
        <w:rPr>
          <w:rFonts w:hint="eastAsia"/>
          <w:sz w:val="32"/>
          <w:szCs w:val="32"/>
        </w:rPr>
        <w:t>仿真实验内容至少包含以下1</w:t>
      </w:r>
      <w:r>
        <w:rPr>
          <w:sz w:val="32"/>
          <w:szCs w:val="32"/>
        </w:rPr>
        <w:t>3</w:t>
      </w:r>
      <w:r>
        <w:rPr>
          <w:rFonts w:hint="eastAsia"/>
          <w:sz w:val="32"/>
          <w:szCs w:val="32"/>
        </w:rPr>
        <w:t>个步骤：进入实验模块；压力换能器准备；记滴器准备；称重；注射麻药（1.5%戊巴比妥钠麻醉）；固定；气管插管；分离神经；动脉插管；静脉输液（颈静脉输液）；股动脉插管；输尿管插管or 膀胱插管；操作评价。</w:t>
      </w:r>
    </w:p>
    <w:p>
      <w:pPr>
        <w:pStyle w:val="23"/>
        <w:ind w:firstLine="640"/>
        <w:rPr>
          <w:sz w:val="32"/>
          <w:szCs w:val="32"/>
        </w:rPr>
      </w:pPr>
      <w:r>
        <w:rPr>
          <w:rFonts w:hint="eastAsia"/>
          <w:sz w:val="32"/>
          <w:szCs w:val="32"/>
        </w:rPr>
        <w:t>3.2.2基于VR技术的家兔肠系膜血管栓塞肠切除吻合虚拟仿真实验</w:t>
      </w:r>
    </w:p>
    <w:p>
      <w:pPr>
        <w:pStyle w:val="23"/>
        <w:ind w:firstLine="640"/>
        <w:rPr>
          <w:sz w:val="32"/>
          <w:szCs w:val="32"/>
        </w:rPr>
      </w:pPr>
      <w:r>
        <w:rPr>
          <w:rFonts w:hint="eastAsia"/>
          <w:sz w:val="32"/>
          <w:szCs w:val="32"/>
        </w:rPr>
        <w:t>仿真实验内容包含以下12个步骤：实验室场景导入；实验家兔的捉拿、称重以及麻醉药物、剂量选择；对家兔进行麻醉；去除家兔腹部毛发；切开家兔腹部皮肤；分离家兔腹部肌肉；切开腹膜，暴露肠管；使用止血钳对家兔肠管肠系膜进行处理；使用肠钳钳夹肠管两边；使用手术刀切开肠管；使用褥式缝合法缝合肠管内壁；缝合肠管外壁，然后检查吻合口是否通畅；将肠管置入腹腔内，关闭腹腔，缝合肌肉及皮肤；操作结束，系统自动生成评价与知识点回顾，教师进行总结。</w:t>
      </w:r>
    </w:p>
    <w:p>
      <w:pPr>
        <w:pStyle w:val="23"/>
        <w:ind w:firstLine="640"/>
        <w:rPr>
          <w:sz w:val="32"/>
          <w:szCs w:val="32"/>
        </w:rPr>
      </w:pPr>
      <w:r>
        <w:rPr>
          <w:rFonts w:hint="eastAsia"/>
          <w:sz w:val="32"/>
          <w:szCs w:val="32"/>
        </w:rPr>
        <w:t>3.2.3细胞内DNA复制过程虚拟仿真实验</w:t>
      </w:r>
    </w:p>
    <w:p>
      <w:pPr>
        <w:pStyle w:val="23"/>
        <w:ind w:firstLine="640"/>
        <w:rPr>
          <w:sz w:val="32"/>
          <w:szCs w:val="32"/>
        </w:rPr>
      </w:pPr>
      <w:r>
        <w:rPr>
          <w:rFonts w:hint="eastAsia"/>
          <w:sz w:val="32"/>
          <w:szCs w:val="32"/>
        </w:rPr>
        <w:t>仿真实验操作包括至少10步操作步骤，包含但不限于：DNA解旋；引物合成；子链延长；引物切除；片段连接等交互性操作。可通过VR虚拟操作触发知识点考核不少于5个且包含解析。</w:t>
      </w:r>
      <w:bookmarkEnd w:id="4"/>
    </w:p>
    <w:p>
      <w:pPr>
        <w:pStyle w:val="23"/>
        <w:ind w:firstLine="640"/>
        <w:rPr>
          <w:sz w:val="32"/>
          <w:szCs w:val="32"/>
        </w:rPr>
      </w:pPr>
      <w:r>
        <w:rPr>
          <w:rFonts w:hint="eastAsia"/>
          <w:sz w:val="32"/>
          <w:szCs w:val="32"/>
        </w:rPr>
        <w:t>3.2.4 VR沉浸式虚拟仿真系统课程资源具体技术参数要求如下：</w:t>
      </w:r>
    </w:p>
    <w:tbl>
      <w:tblPr>
        <w:tblStyle w:val="11"/>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1"/>
        <w:gridCol w:w="640"/>
        <w:gridCol w:w="754"/>
        <w:gridCol w:w="734"/>
        <w:gridCol w:w="1785"/>
        <w:gridCol w:w="3000"/>
        <w:gridCol w:w="892"/>
        <w:gridCol w:w="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38" w:type="pct"/>
            <w:vAlign w:val="center"/>
          </w:tcPr>
          <w:p>
            <w:pPr>
              <w:widowControl/>
              <w:spacing w:line="320" w:lineRule="exact"/>
              <w:ind w:left="0" w:leftChars="0" w:right="0" w:rightChars="0" w:firstLine="0" w:firstLineChars="0"/>
              <w:jc w:val="center"/>
              <w:rPr>
                <w:rFonts w:hint="eastAsia" w:ascii="仿宋_GB2312" w:hAnsi="仿宋_GB2312" w:eastAsia="仿宋_GB2312" w:cs="仿宋_GB2312"/>
                <w:b/>
                <w:bCs/>
                <w:kern w:val="0"/>
                <w:szCs w:val="21"/>
              </w:rPr>
            </w:pPr>
            <w:r>
              <w:rPr>
                <w:rFonts w:hint="eastAsia" w:ascii="仿宋_GB2312" w:hAnsi="仿宋_GB2312" w:eastAsia="仿宋_GB2312" w:cs="仿宋_GB2312"/>
                <w:b/>
                <w:bCs/>
                <w:kern w:val="0"/>
                <w:szCs w:val="21"/>
              </w:rPr>
              <w:t>序号</w:t>
            </w:r>
          </w:p>
        </w:tc>
        <w:tc>
          <w:tcPr>
            <w:tcW w:w="353" w:type="pct"/>
            <w:vAlign w:val="center"/>
          </w:tcPr>
          <w:p>
            <w:pPr>
              <w:widowControl/>
              <w:spacing w:line="320" w:lineRule="exact"/>
              <w:ind w:left="0" w:leftChars="0" w:right="0" w:rightChars="0" w:firstLine="0" w:firstLineChars="0"/>
              <w:jc w:val="center"/>
              <w:rPr>
                <w:rFonts w:hint="eastAsia" w:ascii="仿宋_GB2312" w:hAnsi="仿宋_GB2312" w:eastAsia="仿宋_GB2312" w:cs="仿宋_GB2312"/>
                <w:b/>
                <w:bCs/>
                <w:kern w:val="0"/>
                <w:szCs w:val="21"/>
              </w:rPr>
            </w:pPr>
            <w:r>
              <w:rPr>
                <w:rFonts w:hint="eastAsia" w:ascii="仿宋_GB2312" w:hAnsi="仿宋_GB2312" w:eastAsia="仿宋_GB2312" w:cs="仿宋_GB2312"/>
                <w:b/>
                <w:bCs/>
                <w:kern w:val="0"/>
                <w:szCs w:val="21"/>
              </w:rPr>
              <w:t>分类</w:t>
            </w:r>
          </w:p>
        </w:tc>
        <w:tc>
          <w:tcPr>
            <w:tcW w:w="416" w:type="pct"/>
            <w:vAlign w:val="center"/>
          </w:tcPr>
          <w:p>
            <w:pPr>
              <w:widowControl/>
              <w:spacing w:line="320" w:lineRule="exact"/>
              <w:ind w:left="0" w:leftChars="0" w:right="0" w:rightChars="0" w:firstLine="0" w:firstLineChars="0"/>
              <w:jc w:val="center"/>
              <w:rPr>
                <w:rFonts w:hint="eastAsia" w:ascii="仿宋_GB2312" w:hAnsi="仿宋_GB2312" w:eastAsia="仿宋_GB2312" w:cs="仿宋_GB2312"/>
                <w:b/>
                <w:bCs/>
                <w:kern w:val="0"/>
                <w:szCs w:val="21"/>
              </w:rPr>
            </w:pPr>
            <w:r>
              <w:rPr>
                <w:rFonts w:hint="eastAsia" w:ascii="仿宋_GB2312" w:hAnsi="仿宋_GB2312" w:eastAsia="仿宋_GB2312" w:cs="仿宋_GB2312"/>
                <w:b/>
                <w:bCs/>
                <w:kern w:val="0"/>
                <w:szCs w:val="21"/>
              </w:rPr>
              <w:t>一级</w:t>
            </w:r>
          </w:p>
          <w:p>
            <w:pPr>
              <w:widowControl/>
              <w:spacing w:line="320" w:lineRule="exact"/>
              <w:ind w:left="0" w:leftChars="0" w:right="0" w:rightChars="0" w:firstLine="0" w:firstLineChars="0"/>
              <w:jc w:val="center"/>
              <w:rPr>
                <w:rFonts w:hint="eastAsia" w:ascii="仿宋_GB2312" w:hAnsi="仿宋_GB2312" w:eastAsia="仿宋_GB2312" w:cs="仿宋_GB2312"/>
                <w:b/>
                <w:bCs/>
                <w:kern w:val="0"/>
                <w:szCs w:val="21"/>
              </w:rPr>
            </w:pPr>
            <w:r>
              <w:rPr>
                <w:rFonts w:hint="eastAsia" w:ascii="仿宋_GB2312" w:hAnsi="仿宋_GB2312" w:eastAsia="仿宋_GB2312" w:cs="仿宋_GB2312"/>
                <w:b/>
                <w:bCs/>
                <w:kern w:val="0"/>
                <w:szCs w:val="21"/>
              </w:rPr>
              <w:t>指标</w:t>
            </w:r>
          </w:p>
        </w:tc>
        <w:tc>
          <w:tcPr>
            <w:tcW w:w="405" w:type="pct"/>
            <w:vAlign w:val="center"/>
          </w:tcPr>
          <w:p>
            <w:pPr>
              <w:widowControl/>
              <w:spacing w:line="320" w:lineRule="exact"/>
              <w:ind w:left="0" w:leftChars="0" w:right="0" w:rightChars="0" w:firstLine="0" w:firstLineChars="0"/>
              <w:jc w:val="center"/>
              <w:rPr>
                <w:rFonts w:hint="eastAsia" w:ascii="仿宋_GB2312" w:hAnsi="仿宋_GB2312" w:eastAsia="仿宋_GB2312" w:cs="仿宋_GB2312"/>
                <w:b/>
                <w:bCs/>
                <w:kern w:val="0"/>
                <w:szCs w:val="21"/>
              </w:rPr>
            </w:pPr>
            <w:r>
              <w:rPr>
                <w:rFonts w:hint="eastAsia" w:ascii="仿宋_GB2312" w:hAnsi="仿宋_GB2312" w:eastAsia="仿宋_GB2312" w:cs="仿宋_GB2312"/>
                <w:b/>
                <w:bCs/>
                <w:kern w:val="0"/>
                <w:szCs w:val="21"/>
              </w:rPr>
              <w:t>二级</w:t>
            </w:r>
          </w:p>
          <w:p>
            <w:pPr>
              <w:widowControl/>
              <w:spacing w:line="320" w:lineRule="exact"/>
              <w:ind w:left="0" w:leftChars="0" w:right="0" w:rightChars="0" w:firstLine="0" w:firstLineChars="0"/>
              <w:jc w:val="center"/>
              <w:rPr>
                <w:rFonts w:hint="eastAsia" w:ascii="仿宋_GB2312" w:hAnsi="仿宋_GB2312" w:eastAsia="仿宋_GB2312" w:cs="仿宋_GB2312"/>
                <w:b/>
                <w:bCs/>
                <w:kern w:val="0"/>
                <w:szCs w:val="21"/>
              </w:rPr>
            </w:pPr>
            <w:r>
              <w:rPr>
                <w:rFonts w:hint="eastAsia" w:ascii="仿宋_GB2312" w:hAnsi="仿宋_GB2312" w:eastAsia="仿宋_GB2312" w:cs="仿宋_GB2312"/>
                <w:b/>
                <w:bCs/>
                <w:kern w:val="0"/>
                <w:szCs w:val="21"/>
              </w:rPr>
              <w:t>指标</w:t>
            </w:r>
          </w:p>
        </w:tc>
        <w:tc>
          <w:tcPr>
            <w:tcW w:w="985" w:type="pct"/>
            <w:vAlign w:val="center"/>
          </w:tcPr>
          <w:p>
            <w:pPr>
              <w:widowControl/>
              <w:spacing w:line="320" w:lineRule="exact"/>
              <w:ind w:left="0" w:leftChars="0" w:right="0" w:rightChars="0" w:firstLine="0" w:firstLineChars="0"/>
              <w:jc w:val="center"/>
              <w:rPr>
                <w:rFonts w:hint="eastAsia" w:ascii="仿宋_GB2312" w:hAnsi="仿宋_GB2312" w:eastAsia="仿宋_GB2312" w:cs="仿宋_GB2312"/>
                <w:b/>
                <w:bCs/>
                <w:kern w:val="0"/>
                <w:szCs w:val="21"/>
              </w:rPr>
            </w:pPr>
            <w:r>
              <w:rPr>
                <w:rFonts w:hint="eastAsia" w:ascii="仿宋_GB2312" w:hAnsi="仿宋_GB2312" w:eastAsia="仿宋_GB2312" w:cs="仿宋_GB2312"/>
                <w:b/>
                <w:bCs/>
                <w:kern w:val="0"/>
                <w:szCs w:val="21"/>
              </w:rPr>
              <w:t>是否作为强制要求及评分因素等</w:t>
            </w:r>
          </w:p>
        </w:tc>
        <w:tc>
          <w:tcPr>
            <w:tcW w:w="1655" w:type="pct"/>
            <w:vAlign w:val="center"/>
          </w:tcPr>
          <w:p>
            <w:pPr>
              <w:widowControl/>
              <w:spacing w:line="320" w:lineRule="exact"/>
              <w:ind w:left="0" w:leftChars="0" w:right="0" w:rightChars="0" w:firstLine="0" w:firstLineChars="0"/>
              <w:jc w:val="center"/>
              <w:rPr>
                <w:rFonts w:hint="eastAsia" w:ascii="仿宋_GB2312" w:hAnsi="仿宋_GB2312" w:eastAsia="仿宋_GB2312" w:cs="仿宋_GB2312"/>
                <w:b/>
                <w:bCs/>
                <w:kern w:val="0"/>
                <w:szCs w:val="21"/>
              </w:rPr>
            </w:pPr>
            <w:r>
              <w:rPr>
                <w:rFonts w:hint="eastAsia" w:ascii="仿宋_GB2312" w:hAnsi="仿宋_GB2312" w:eastAsia="仿宋_GB2312" w:cs="仿宋_GB2312"/>
                <w:b/>
                <w:bCs/>
                <w:kern w:val="0"/>
                <w:szCs w:val="21"/>
              </w:rPr>
              <w:t>指标要求</w:t>
            </w:r>
          </w:p>
        </w:tc>
        <w:tc>
          <w:tcPr>
            <w:tcW w:w="492" w:type="pct"/>
            <w:vAlign w:val="center"/>
          </w:tcPr>
          <w:p>
            <w:pPr>
              <w:widowControl/>
              <w:spacing w:line="320" w:lineRule="exact"/>
              <w:ind w:left="0" w:leftChars="0" w:right="0" w:rightChars="0" w:firstLine="0" w:firstLineChars="0"/>
              <w:jc w:val="center"/>
              <w:rPr>
                <w:rFonts w:hint="eastAsia" w:ascii="仿宋_GB2312" w:hAnsi="仿宋_GB2312" w:eastAsia="仿宋_GB2312" w:cs="仿宋_GB2312"/>
                <w:b/>
                <w:bCs/>
                <w:kern w:val="0"/>
                <w:szCs w:val="21"/>
              </w:rPr>
            </w:pPr>
            <w:r>
              <w:rPr>
                <w:rFonts w:hint="eastAsia" w:ascii="仿宋_GB2312" w:hAnsi="仿宋_GB2312" w:eastAsia="仿宋_GB2312" w:cs="仿宋_GB2312"/>
                <w:b/>
                <w:bCs/>
                <w:kern w:val="0"/>
                <w:szCs w:val="21"/>
              </w:rPr>
              <w:t>指标使用说明</w:t>
            </w:r>
          </w:p>
        </w:tc>
        <w:tc>
          <w:tcPr>
            <w:tcW w:w="452" w:type="pct"/>
            <w:vAlign w:val="center"/>
          </w:tcPr>
          <w:p>
            <w:pPr>
              <w:widowControl/>
              <w:spacing w:line="320" w:lineRule="exact"/>
              <w:ind w:left="0" w:leftChars="0" w:right="0" w:rightChars="0" w:firstLine="0" w:firstLineChars="0"/>
              <w:jc w:val="center"/>
              <w:rPr>
                <w:rFonts w:hint="eastAsia" w:ascii="仿宋_GB2312" w:hAnsi="仿宋_GB2312" w:eastAsia="仿宋_GB2312" w:cs="仿宋_GB2312"/>
                <w:b/>
                <w:bCs/>
                <w:kern w:val="0"/>
                <w:szCs w:val="21"/>
              </w:rPr>
            </w:pPr>
            <w:r>
              <w:rPr>
                <w:rFonts w:hint="eastAsia" w:ascii="仿宋_GB2312" w:hAnsi="仿宋_GB2312" w:eastAsia="仿宋_GB2312" w:cs="仿宋_GB2312"/>
                <w:b/>
                <w:bCs/>
                <w:kern w:val="0"/>
                <w:szCs w:val="21"/>
              </w:rPr>
              <w:t>证明方式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 w:type="pct"/>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1</w:t>
            </w:r>
          </w:p>
        </w:tc>
        <w:tc>
          <w:tcPr>
            <w:tcW w:w="353" w:type="pct"/>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VR沉浸式虚拟仿真系统课程资源</w:t>
            </w:r>
          </w:p>
        </w:tc>
        <w:tc>
          <w:tcPr>
            <w:tcW w:w="416" w:type="pct"/>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系统架构</w:t>
            </w:r>
          </w:p>
        </w:tc>
        <w:tc>
          <w:tcPr>
            <w:tcW w:w="405" w:type="pct"/>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w:t>
            </w:r>
          </w:p>
        </w:tc>
        <w:tc>
          <w:tcPr>
            <w:tcW w:w="985" w:type="pct"/>
            <w:vAlign w:val="center"/>
          </w:tcPr>
          <w:p>
            <w:pPr>
              <w:widowControl/>
              <w:spacing w:line="320" w:lineRule="exact"/>
              <w:ind w:left="0" w:leftChars="0" w:right="0" w:rightChars="0" w:firstLine="0" w:firstLineChars="0"/>
              <w:jc w:val="both"/>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 xml:space="preserve">强制要求     </w:t>
            </w:r>
            <w:r>
              <w:rPr>
                <w:rFonts w:hint="eastAsia" w:ascii="仿宋_GB2312" w:hAnsi="仿宋_GB2312" w:eastAsia="仿宋_GB2312" w:cs="仿宋_GB2312"/>
                <w:kern w:val="0"/>
                <w:szCs w:val="21"/>
              </w:rPr>
              <w:sym w:font="Wingdings 2" w:char="0052"/>
            </w:r>
          </w:p>
          <w:p>
            <w:pPr>
              <w:widowControl/>
              <w:spacing w:line="320" w:lineRule="exact"/>
              <w:ind w:left="0" w:leftChars="0" w:right="0" w:rightChars="0" w:firstLine="0" w:firstLineChars="0"/>
              <w:jc w:val="both"/>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 xml:space="preserve">评分因素     </w:t>
            </w:r>
            <w:r>
              <w:rPr>
                <w:rFonts w:hint="eastAsia" w:ascii="仿宋_GB2312" w:hAnsi="仿宋_GB2312" w:eastAsia="仿宋_GB2312" w:cs="仿宋_GB2312"/>
                <w:kern w:val="0"/>
                <w:szCs w:val="21"/>
              </w:rPr>
              <w:sym w:font="Wingdings" w:char="00A8"/>
            </w:r>
          </w:p>
          <w:p>
            <w:pPr>
              <w:widowControl/>
              <w:spacing w:line="320" w:lineRule="exact"/>
              <w:ind w:left="0" w:leftChars="0" w:right="0" w:rightChars="0" w:firstLine="0" w:firstLineChars="0"/>
              <w:jc w:val="both"/>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 xml:space="preserve">建议作为重要指标，适当增加分值权重       </w:t>
            </w:r>
            <w:r>
              <w:rPr>
                <w:rFonts w:hint="eastAsia" w:ascii="仿宋_GB2312" w:hAnsi="仿宋_GB2312" w:eastAsia="仿宋_GB2312" w:cs="仿宋_GB2312"/>
                <w:kern w:val="0"/>
                <w:szCs w:val="21"/>
              </w:rPr>
              <w:sym w:font="Wingdings" w:char="00A8"/>
            </w:r>
          </w:p>
        </w:tc>
        <w:tc>
          <w:tcPr>
            <w:tcW w:w="1655" w:type="pct"/>
            <w:vAlign w:val="center"/>
          </w:tcPr>
          <w:p>
            <w:pPr>
              <w:widowControl/>
              <w:spacing w:line="320" w:lineRule="exact"/>
              <w:ind w:left="0" w:leftChars="0" w:right="0" w:rightChars="0" w:firstLine="0" w:firstLineChars="0"/>
              <w:jc w:val="both"/>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通过htc vive虚拟现实设备，可将操作者投射到虚拟世界，旁观者能够实时观察实验者操作过程，软件可兼容于医学VR互动实验室教学考核网络平台，进行学习进度统计、学习成绩评定、学习成绩统计，实验中有知识点的考察和交互。</w:t>
            </w:r>
          </w:p>
        </w:tc>
        <w:tc>
          <w:tcPr>
            <w:tcW w:w="492" w:type="pct"/>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提供的功能齐全完整、可操作性强</w:t>
            </w:r>
          </w:p>
        </w:tc>
        <w:tc>
          <w:tcPr>
            <w:tcW w:w="452" w:type="pct"/>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供应商书面承诺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 w:type="pct"/>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2</w:t>
            </w:r>
          </w:p>
        </w:tc>
        <w:tc>
          <w:tcPr>
            <w:tcW w:w="353" w:type="pct"/>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VR沉浸式虚拟仿真系统课程资源</w:t>
            </w:r>
          </w:p>
        </w:tc>
        <w:tc>
          <w:tcPr>
            <w:tcW w:w="416" w:type="pct"/>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运营环境</w:t>
            </w:r>
          </w:p>
        </w:tc>
        <w:tc>
          <w:tcPr>
            <w:tcW w:w="405" w:type="pct"/>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w:t>
            </w:r>
          </w:p>
        </w:tc>
        <w:tc>
          <w:tcPr>
            <w:tcW w:w="985" w:type="pct"/>
            <w:vAlign w:val="center"/>
          </w:tcPr>
          <w:p>
            <w:pPr>
              <w:widowControl/>
              <w:spacing w:line="320" w:lineRule="exact"/>
              <w:ind w:left="0" w:leftChars="0" w:right="0" w:rightChars="0" w:firstLine="0" w:firstLineChars="0"/>
              <w:jc w:val="both"/>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 xml:space="preserve">强制要求     </w:t>
            </w:r>
            <w:r>
              <w:rPr>
                <w:rFonts w:hint="eastAsia" w:ascii="仿宋_GB2312" w:hAnsi="仿宋_GB2312" w:eastAsia="仿宋_GB2312" w:cs="仿宋_GB2312"/>
                <w:kern w:val="0"/>
                <w:szCs w:val="21"/>
              </w:rPr>
              <w:sym w:font="Wingdings 2" w:char="00A3"/>
            </w:r>
          </w:p>
          <w:p>
            <w:pPr>
              <w:widowControl/>
              <w:spacing w:line="320" w:lineRule="exact"/>
              <w:ind w:left="0" w:leftChars="0" w:right="0" w:rightChars="0" w:firstLine="0" w:firstLineChars="0"/>
              <w:jc w:val="both"/>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 xml:space="preserve">评分因素     </w:t>
            </w:r>
            <w:r>
              <w:rPr>
                <w:rFonts w:hint="eastAsia" w:ascii="仿宋_GB2312" w:hAnsi="仿宋_GB2312" w:eastAsia="仿宋_GB2312" w:cs="仿宋_GB2312"/>
                <w:kern w:val="0"/>
                <w:szCs w:val="21"/>
              </w:rPr>
              <w:sym w:font="Wingdings" w:char="00FE"/>
            </w:r>
          </w:p>
          <w:p>
            <w:pPr>
              <w:widowControl/>
              <w:spacing w:line="320" w:lineRule="exact"/>
              <w:ind w:left="0" w:leftChars="0" w:right="0" w:rightChars="0" w:firstLine="0" w:firstLineChars="0"/>
              <w:jc w:val="both"/>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 xml:space="preserve">建议作为重要指标，适当增加分值权重       </w:t>
            </w:r>
            <w:r>
              <w:rPr>
                <w:rFonts w:hint="eastAsia" w:ascii="仿宋_GB2312" w:hAnsi="仿宋_GB2312" w:eastAsia="仿宋_GB2312" w:cs="仿宋_GB2312"/>
                <w:kern w:val="0"/>
                <w:szCs w:val="21"/>
              </w:rPr>
              <w:sym w:font="Wingdings" w:char="00A8"/>
            </w:r>
          </w:p>
        </w:tc>
        <w:tc>
          <w:tcPr>
            <w:tcW w:w="1655" w:type="pct"/>
            <w:vAlign w:val="center"/>
          </w:tcPr>
          <w:p>
            <w:pPr>
              <w:widowControl/>
              <w:spacing w:line="320" w:lineRule="exact"/>
              <w:ind w:left="0" w:leftChars="0" w:right="0" w:rightChars="0" w:firstLine="0" w:firstLineChars="0"/>
              <w:jc w:val="both"/>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支持WIN7及以上等操作系统；HTC VIVE头盔；同时支持3D电视戴眼镜集体学习。</w:t>
            </w:r>
          </w:p>
        </w:tc>
        <w:tc>
          <w:tcPr>
            <w:tcW w:w="492" w:type="pct"/>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兼容的常见操作系统和常用设备越多越好</w:t>
            </w:r>
          </w:p>
        </w:tc>
        <w:tc>
          <w:tcPr>
            <w:tcW w:w="452" w:type="pct"/>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供应商书面承诺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 w:type="pct"/>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3</w:t>
            </w:r>
          </w:p>
        </w:tc>
        <w:tc>
          <w:tcPr>
            <w:tcW w:w="353" w:type="pct"/>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VR沉浸式虚拟仿真系统课程资源</w:t>
            </w:r>
          </w:p>
        </w:tc>
        <w:tc>
          <w:tcPr>
            <w:tcW w:w="416" w:type="pct"/>
            <w:vMerge w:val="restart"/>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模型动画技术</w:t>
            </w:r>
          </w:p>
        </w:tc>
        <w:tc>
          <w:tcPr>
            <w:tcW w:w="405" w:type="pct"/>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模型制作</w:t>
            </w:r>
          </w:p>
        </w:tc>
        <w:tc>
          <w:tcPr>
            <w:tcW w:w="985" w:type="pct"/>
            <w:vAlign w:val="center"/>
          </w:tcPr>
          <w:p>
            <w:pPr>
              <w:widowControl/>
              <w:spacing w:line="320" w:lineRule="exact"/>
              <w:ind w:left="0" w:leftChars="0" w:right="0" w:rightChars="0" w:firstLine="0" w:firstLineChars="0"/>
              <w:jc w:val="both"/>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 xml:space="preserve">强制要求     </w:t>
            </w:r>
            <w:r>
              <w:rPr>
                <w:rFonts w:hint="eastAsia" w:ascii="仿宋_GB2312" w:hAnsi="仿宋_GB2312" w:eastAsia="仿宋_GB2312" w:cs="仿宋_GB2312"/>
                <w:kern w:val="0"/>
                <w:szCs w:val="21"/>
              </w:rPr>
              <w:sym w:font="Wingdings 2" w:char="00A3"/>
            </w:r>
          </w:p>
          <w:p>
            <w:pPr>
              <w:widowControl/>
              <w:spacing w:line="320" w:lineRule="exact"/>
              <w:ind w:left="0" w:leftChars="0" w:right="0" w:rightChars="0" w:firstLine="0" w:firstLineChars="0"/>
              <w:jc w:val="both"/>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 xml:space="preserve">评分因素     </w:t>
            </w:r>
            <w:r>
              <w:rPr>
                <w:rFonts w:hint="eastAsia" w:ascii="仿宋_GB2312" w:hAnsi="仿宋_GB2312" w:eastAsia="仿宋_GB2312" w:cs="仿宋_GB2312"/>
                <w:kern w:val="0"/>
                <w:szCs w:val="21"/>
              </w:rPr>
              <w:sym w:font="Wingdings" w:char="00FE"/>
            </w:r>
          </w:p>
          <w:p>
            <w:pPr>
              <w:widowControl/>
              <w:spacing w:line="320" w:lineRule="exact"/>
              <w:ind w:left="0" w:leftChars="0" w:right="0" w:rightChars="0" w:firstLine="0" w:firstLineChars="0"/>
              <w:jc w:val="both"/>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 xml:space="preserve">建议作为重要指标，适当增加分值权重       </w:t>
            </w:r>
            <w:r>
              <w:rPr>
                <w:rFonts w:hint="eastAsia" w:ascii="仿宋_GB2312" w:hAnsi="仿宋_GB2312" w:eastAsia="仿宋_GB2312" w:cs="仿宋_GB2312"/>
                <w:kern w:val="0"/>
                <w:szCs w:val="21"/>
              </w:rPr>
              <w:sym w:font="Wingdings" w:char="00A8"/>
            </w:r>
          </w:p>
        </w:tc>
        <w:tc>
          <w:tcPr>
            <w:tcW w:w="1655" w:type="pct"/>
            <w:vAlign w:val="center"/>
          </w:tcPr>
          <w:p>
            <w:pPr>
              <w:widowControl/>
              <w:spacing w:line="320" w:lineRule="exact"/>
              <w:ind w:left="0" w:leftChars="0" w:right="0" w:rightChars="0" w:firstLine="0" w:firstLineChars="0"/>
              <w:jc w:val="both"/>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系统中模型、材质、纹理等文件必须规范命名及分层、分类管理，命名中不可有中文名称，不能重名，易于识别，模型格式至少是.fbx或.3ds；均为3D效果，构建与真实物种1：1比例非拟人化、非漫画形象，仿真度高；单个max文件里如有多个物体，需将多个物体打组（单个物体无需打组），静态辅助物体需要attach成一个物体；材质球命名与物体名称一致，材质球的ID号和物体的ID号必须一致；模型制作既要保证逼真的质量又要控制好三角面的数量，单个模型的面数控制2000面以内，不能有多余面；模型的中心点在模型的中心位置。</w:t>
            </w:r>
          </w:p>
        </w:tc>
        <w:tc>
          <w:tcPr>
            <w:tcW w:w="492" w:type="pct"/>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模型制作符合要求，提供的功能齐全完整</w:t>
            </w:r>
          </w:p>
        </w:tc>
        <w:tc>
          <w:tcPr>
            <w:tcW w:w="452" w:type="pct"/>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供应商书面承诺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 w:type="pct"/>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4</w:t>
            </w:r>
          </w:p>
        </w:tc>
        <w:tc>
          <w:tcPr>
            <w:tcW w:w="353" w:type="pct"/>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VR沉浸式虚拟仿真系统课程资源</w:t>
            </w:r>
          </w:p>
        </w:tc>
        <w:tc>
          <w:tcPr>
            <w:tcW w:w="416" w:type="pct"/>
            <w:vMerge w:val="continue"/>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p>
        </w:tc>
        <w:tc>
          <w:tcPr>
            <w:tcW w:w="405" w:type="pct"/>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贴图材质</w:t>
            </w:r>
          </w:p>
        </w:tc>
        <w:tc>
          <w:tcPr>
            <w:tcW w:w="985" w:type="pct"/>
            <w:vAlign w:val="center"/>
          </w:tcPr>
          <w:p>
            <w:pPr>
              <w:widowControl/>
              <w:spacing w:line="320" w:lineRule="exact"/>
              <w:ind w:left="0" w:leftChars="0" w:right="0" w:rightChars="0" w:firstLine="0" w:firstLineChars="0"/>
              <w:jc w:val="both"/>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 xml:space="preserve">强制要求     </w:t>
            </w:r>
            <w:r>
              <w:rPr>
                <w:rFonts w:hint="eastAsia" w:ascii="仿宋_GB2312" w:hAnsi="仿宋_GB2312" w:eastAsia="仿宋_GB2312" w:cs="仿宋_GB2312"/>
                <w:kern w:val="0"/>
                <w:szCs w:val="21"/>
              </w:rPr>
              <w:sym w:font="Wingdings 2" w:char="00A3"/>
            </w:r>
          </w:p>
          <w:p>
            <w:pPr>
              <w:widowControl/>
              <w:spacing w:line="320" w:lineRule="exact"/>
              <w:ind w:left="0" w:leftChars="0" w:right="0" w:rightChars="0" w:firstLine="0" w:firstLineChars="0"/>
              <w:jc w:val="both"/>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 xml:space="preserve">评分因素     </w:t>
            </w:r>
            <w:r>
              <w:rPr>
                <w:rFonts w:hint="eastAsia" w:ascii="仿宋_GB2312" w:hAnsi="仿宋_GB2312" w:eastAsia="仿宋_GB2312" w:cs="仿宋_GB2312"/>
                <w:kern w:val="0"/>
                <w:szCs w:val="21"/>
              </w:rPr>
              <w:sym w:font="Wingdings" w:char="00FE"/>
            </w:r>
          </w:p>
          <w:p>
            <w:pPr>
              <w:widowControl/>
              <w:spacing w:line="320" w:lineRule="exact"/>
              <w:ind w:left="0" w:leftChars="0" w:right="0" w:rightChars="0" w:firstLine="0" w:firstLineChars="0"/>
              <w:jc w:val="both"/>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 xml:space="preserve">建议作为重要指标，适当增加分值权重       </w:t>
            </w:r>
            <w:r>
              <w:rPr>
                <w:rFonts w:hint="eastAsia" w:ascii="仿宋_GB2312" w:hAnsi="仿宋_GB2312" w:eastAsia="仿宋_GB2312" w:cs="仿宋_GB2312"/>
                <w:kern w:val="0"/>
                <w:szCs w:val="21"/>
              </w:rPr>
              <w:sym w:font="Wingdings" w:char="00A8"/>
            </w:r>
          </w:p>
        </w:tc>
        <w:tc>
          <w:tcPr>
            <w:tcW w:w="1655" w:type="pct"/>
            <w:vAlign w:val="center"/>
          </w:tcPr>
          <w:p>
            <w:pPr>
              <w:widowControl/>
              <w:spacing w:line="320" w:lineRule="exact"/>
              <w:ind w:left="0" w:leftChars="0" w:right="0" w:rightChars="0" w:firstLine="0" w:firstLineChars="0"/>
              <w:jc w:val="both"/>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模型材质要进行烘焙处理，以生成带有阴影、高光、反射等效果的贴图；所有模型采用实物贴图，并做优化处理，要色彩协调，明暗和冷暖统一，贴图格式为.DDS，进行法线贴图处理来达到最佳的视觉效果；一个物件给一张贴图，颜色贴图不要放在凹凸通道里，一张贴图要占满整个画布，不能出现浪费贴图空间的情况，场景中连续贴图不能看到有明显的缝隙；UV展开要均匀舒展，避免拉伸，最大化提高UV的利用率；材质大小长宽像素为2的次方倍数，贴图大小最大不超过1024*1024；同种贴图必须使一个材质球。</w:t>
            </w:r>
          </w:p>
        </w:tc>
        <w:tc>
          <w:tcPr>
            <w:tcW w:w="492" w:type="pct"/>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贴图材质和处理符合指标要求，视觉效果要达到最佳</w:t>
            </w:r>
          </w:p>
        </w:tc>
        <w:tc>
          <w:tcPr>
            <w:tcW w:w="452" w:type="pct"/>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供应商书面承诺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 w:type="pct"/>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5</w:t>
            </w:r>
          </w:p>
        </w:tc>
        <w:tc>
          <w:tcPr>
            <w:tcW w:w="353" w:type="pct"/>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VR沉浸式虚拟仿真系统课程资源</w:t>
            </w:r>
          </w:p>
        </w:tc>
        <w:tc>
          <w:tcPr>
            <w:tcW w:w="416" w:type="pct"/>
            <w:vMerge w:val="continue"/>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p>
        </w:tc>
        <w:tc>
          <w:tcPr>
            <w:tcW w:w="405" w:type="pct"/>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粒子特效</w:t>
            </w:r>
          </w:p>
        </w:tc>
        <w:tc>
          <w:tcPr>
            <w:tcW w:w="985" w:type="pct"/>
            <w:vAlign w:val="center"/>
          </w:tcPr>
          <w:p>
            <w:pPr>
              <w:widowControl/>
              <w:spacing w:line="320" w:lineRule="exact"/>
              <w:ind w:left="0" w:leftChars="0" w:right="0" w:rightChars="0" w:firstLine="0" w:firstLineChars="0"/>
              <w:jc w:val="both"/>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 xml:space="preserve">强制要求     </w:t>
            </w:r>
            <w:r>
              <w:rPr>
                <w:rFonts w:hint="eastAsia" w:ascii="仿宋_GB2312" w:hAnsi="仿宋_GB2312" w:eastAsia="仿宋_GB2312" w:cs="仿宋_GB2312"/>
                <w:kern w:val="0"/>
                <w:szCs w:val="21"/>
              </w:rPr>
              <w:sym w:font="Wingdings 2" w:char="00A3"/>
            </w:r>
          </w:p>
          <w:p>
            <w:pPr>
              <w:widowControl/>
              <w:spacing w:line="320" w:lineRule="exact"/>
              <w:ind w:left="0" w:leftChars="0" w:right="0" w:rightChars="0" w:firstLine="0" w:firstLineChars="0"/>
              <w:jc w:val="both"/>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 xml:space="preserve">评分因素     </w:t>
            </w:r>
            <w:r>
              <w:rPr>
                <w:rFonts w:hint="eastAsia" w:ascii="仿宋_GB2312" w:hAnsi="仿宋_GB2312" w:eastAsia="仿宋_GB2312" w:cs="仿宋_GB2312"/>
                <w:kern w:val="0"/>
                <w:szCs w:val="21"/>
              </w:rPr>
              <w:sym w:font="Wingdings" w:char="00FE"/>
            </w:r>
          </w:p>
          <w:p>
            <w:pPr>
              <w:widowControl/>
              <w:spacing w:line="320" w:lineRule="exact"/>
              <w:ind w:left="0" w:leftChars="0" w:right="0" w:rightChars="0" w:firstLine="0" w:firstLineChars="0"/>
              <w:jc w:val="both"/>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 xml:space="preserve">建议作为重要指标，适当增加分值权重       </w:t>
            </w:r>
            <w:r>
              <w:rPr>
                <w:rFonts w:hint="eastAsia" w:ascii="仿宋_GB2312" w:hAnsi="仿宋_GB2312" w:eastAsia="仿宋_GB2312" w:cs="仿宋_GB2312"/>
                <w:kern w:val="0"/>
                <w:szCs w:val="21"/>
              </w:rPr>
              <w:sym w:font="Wingdings" w:char="00A8"/>
            </w:r>
          </w:p>
        </w:tc>
        <w:tc>
          <w:tcPr>
            <w:tcW w:w="1655" w:type="pct"/>
            <w:vAlign w:val="center"/>
          </w:tcPr>
          <w:p>
            <w:pPr>
              <w:widowControl/>
              <w:spacing w:line="320" w:lineRule="exact"/>
              <w:ind w:left="0" w:leftChars="0" w:right="0" w:rightChars="0" w:firstLine="0" w:firstLineChars="0"/>
              <w:jc w:val="both"/>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能根据环境情况自动的发生变化，例如：水、烟雾、太阳光晕等环境效果，更加真实的模拟现实环境的效果。</w:t>
            </w:r>
          </w:p>
        </w:tc>
        <w:tc>
          <w:tcPr>
            <w:tcW w:w="492" w:type="pct"/>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提供的功能齐全完整、特效还原度高</w:t>
            </w:r>
          </w:p>
        </w:tc>
        <w:tc>
          <w:tcPr>
            <w:tcW w:w="452" w:type="pct"/>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供应商书面承诺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 w:type="pct"/>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6</w:t>
            </w:r>
          </w:p>
        </w:tc>
        <w:tc>
          <w:tcPr>
            <w:tcW w:w="353" w:type="pct"/>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VR沉浸式虚拟仿真系统课程资源</w:t>
            </w:r>
          </w:p>
        </w:tc>
        <w:tc>
          <w:tcPr>
            <w:tcW w:w="416" w:type="pct"/>
            <w:vMerge w:val="continue"/>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p>
        </w:tc>
        <w:tc>
          <w:tcPr>
            <w:tcW w:w="405" w:type="pct"/>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场景制作</w:t>
            </w:r>
          </w:p>
        </w:tc>
        <w:tc>
          <w:tcPr>
            <w:tcW w:w="985" w:type="pct"/>
            <w:vAlign w:val="center"/>
          </w:tcPr>
          <w:p>
            <w:pPr>
              <w:widowControl/>
              <w:spacing w:line="320" w:lineRule="exact"/>
              <w:ind w:left="0" w:leftChars="0" w:right="0" w:rightChars="0" w:firstLine="0" w:firstLineChars="0"/>
              <w:jc w:val="both"/>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 xml:space="preserve">强制要求     </w:t>
            </w:r>
            <w:r>
              <w:rPr>
                <w:rFonts w:hint="eastAsia" w:ascii="仿宋_GB2312" w:hAnsi="仿宋_GB2312" w:eastAsia="仿宋_GB2312" w:cs="仿宋_GB2312"/>
                <w:kern w:val="0"/>
                <w:szCs w:val="21"/>
              </w:rPr>
              <w:sym w:font="Wingdings 2" w:char="00A3"/>
            </w:r>
          </w:p>
          <w:p>
            <w:pPr>
              <w:widowControl/>
              <w:spacing w:line="320" w:lineRule="exact"/>
              <w:ind w:left="0" w:leftChars="0" w:right="0" w:rightChars="0" w:firstLine="0" w:firstLineChars="0"/>
              <w:jc w:val="both"/>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 xml:space="preserve">评分因素     </w:t>
            </w:r>
            <w:r>
              <w:rPr>
                <w:rFonts w:hint="eastAsia" w:ascii="仿宋_GB2312" w:hAnsi="仿宋_GB2312" w:eastAsia="仿宋_GB2312" w:cs="仿宋_GB2312"/>
                <w:kern w:val="0"/>
                <w:szCs w:val="21"/>
              </w:rPr>
              <w:sym w:font="Wingdings" w:char="00FE"/>
            </w:r>
          </w:p>
          <w:p>
            <w:pPr>
              <w:widowControl/>
              <w:spacing w:line="320" w:lineRule="exact"/>
              <w:ind w:left="0" w:leftChars="0" w:right="0" w:rightChars="0" w:firstLine="0" w:firstLineChars="0"/>
              <w:jc w:val="both"/>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 xml:space="preserve">建议作为重要指标，适当增加分值权重       </w:t>
            </w:r>
            <w:r>
              <w:rPr>
                <w:rFonts w:hint="eastAsia" w:ascii="仿宋_GB2312" w:hAnsi="仿宋_GB2312" w:eastAsia="仿宋_GB2312" w:cs="仿宋_GB2312"/>
                <w:kern w:val="0"/>
                <w:szCs w:val="21"/>
              </w:rPr>
              <w:sym w:font="Wingdings" w:char="00A8"/>
            </w:r>
          </w:p>
        </w:tc>
        <w:tc>
          <w:tcPr>
            <w:tcW w:w="1655" w:type="pct"/>
            <w:vAlign w:val="center"/>
          </w:tcPr>
          <w:p>
            <w:pPr>
              <w:widowControl/>
              <w:spacing w:line="320" w:lineRule="exact"/>
              <w:ind w:left="0" w:leftChars="0" w:right="0" w:rightChars="0" w:firstLine="0" w:firstLineChars="0"/>
              <w:jc w:val="both"/>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无分辨率限制，能够支持1920*1200以上分辨率的三维视景，1:1实物大小显示，可对场景模型进行实时顶点优化和动态加载LOD设置调整，根据视觉效果调整优化比例，减少数据量，提高运行效率，帧速率25帧以上；</w:t>
            </w:r>
          </w:p>
        </w:tc>
        <w:tc>
          <w:tcPr>
            <w:tcW w:w="492" w:type="pct"/>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视觉效果越强越好</w:t>
            </w:r>
          </w:p>
        </w:tc>
        <w:tc>
          <w:tcPr>
            <w:tcW w:w="452" w:type="pct"/>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供应商书面承诺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 w:type="pct"/>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7</w:t>
            </w:r>
          </w:p>
        </w:tc>
        <w:tc>
          <w:tcPr>
            <w:tcW w:w="353" w:type="pct"/>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VR沉浸式虚拟仿真系统课程资源</w:t>
            </w:r>
          </w:p>
        </w:tc>
        <w:tc>
          <w:tcPr>
            <w:tcW w:w="416" w:type="pct"/>
            <w:vMerge w:val="continue"/>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p>
        </w:tc>
        <w:tc>
          <w:tcPr>
            <w:tcW w:w="405" w:type="pct"/>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场景布置</w:t>
            </w:r>
          </w:p>
        </w:tc>
        <w:tc>
          <w:tcPr>
            <w:tcW w:w="985" w:type="pct"/>
            <w:vAlign w:val="center"/>
          </w:tcPr>
          <w:p>
            <w:pPr>
              <w:widowControl/>
              <w:spacing w:line="320" w:lineRule="exact"/>
              <w:ind w:left="0" w:leftChars="0" w:right="0" w:rightChars="0" w:firstLine="0" w:firstLineChars="0"/>
              <w:jc w:val="both"/>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 xml:space="preserve">强制要求     </w:t>
            </w:r>
            <w:r>
              <w:rPr>
                <w:rFonts w:hint="eastAsia" w:ascii="仿宋_GB2312" w:hAnsi="仿宋_GB2312" w:eastAsia="仿宋_GB2312" w:cs="仿宋_GB2312"/>
                <w:kern w:val="0"/>
                <w:szCs w:val="21"/>
              </w:rPr>
              <w:sym w:font="Wingdings 2" w:char="00A3"/>
            </w:r>
          </w:p>
          <w:p>
            <w:pPr>
              <w:widowControl/>
              <w:spacing w:line="320" w:lineRule="exact"/>
              <w:ind w:left="0" w:leftChars="0" w:right="0" w:rightChars="0" w:firstLine="0" w:firstLineChars="0"/>
              <w:jc w:val="both"/>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 xml:space="preserve">评分因素     </w:t>
            </w:r>
            <w:r>
              <w:rPr>
                <w:rFonts w:hint="eastAsia" w:ascii="仿宋_GB2312" w:hAnsi="仿宋_GB2312" w:eastAsia="仿宋_GB2312" w:cs="仿宋_GB2312"/>
                <w:kern w:val="0"/>
                <w:szCs w:val="21"/>
              </w:rPr>
              <w:sym w:font="Wingdings" w:char="00FE"/>
            </w:r>
          </w:p>
          <w:p>
            <w:pPr>
              <w:widowControl/>
              <w:spacing w:line="320" w:lineRule="exact"/>
              <w:ind w:left="0" w:leftChars="0" w:right="0" w:rightChars="0" w:firstLine="0" w:firstLineChars="0"/>
              <w:jc w:val="both"/>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 xml:space="preserve">建议作为重要指标，适当增加分值权重       </w:t>
            </w:r>
            <w:r>
              <w:rPr>
                <w:rFonts w:hint="eastAsia" w:ascii="仿宋_GB2312" w:hAnsi="仿宋_GB2312" w:eastAsia="仿宋_GB2312" w:cs="仿宋_GB2312"/>
                <w:kern w:val="0"/>
                <w:szCs w:val="21"/>
              </w:rPr>
              <w:sym w:font="Wingdings" w:char="00A8"/>
            </w:r>
          </w:p>
        </w:tc>
        <w:tc>
          <w:tcPr>
            <w:tcW w:w="1655" w:type="pct"/>
            <w:vAlign w:val="center"/>
          </w:tcPr>
          <w:p>
            <w:pPr>
              <w:widowControl/>
              <w:spacing w:line="320" w:lineRule="exact"/>
              <w:ind w:left="0" w:leftChars="0" w:right="0" w:rightChars="0" w:firstLine="0" w:firstLineChars="0"/>
              <w:jc w:val="both"/>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基本物件在制作过程中严禁有缩放，有旋转的物体应保留旋转信息，不要镜像物体；整体场景及效果：紧紧围绕现实中的真实环境进行场景建设，真实的反应身临其境的效果；</w:t>
            </w:r>
          </w:p>
        </w:tc>
        <w:tc>
          <w:tcPr>
            <w:tcW w:w="492" w:type="pct"/>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提供的功能齐全完整，场景建设真实感越强越好</w:t>
            </w:r>
          </w:p>
        </w:tc>
        <w:tc>
          <w:tcPr>
            <w:tcW w:w="452" w:type="pct"/>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供应商书面承诺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 w:type="pct"/>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8</w:t>
            </w:r>
          </w:p>
        </w:tc>
        <w:tc>
          <w:tcPr>
            <w:tcW w:w="353" w:type="pct"/>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VR沉浸式虚拟仿真系统课程资源</w:t>
            </w:r>
          </w:p>
        </w:tc>
        <w:tc>
          <w:tcPr>
            <w:tcW w:w="416" w:type="pct"/>
            <w:vMerge w:val="continue"/>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p>
        </w:tc>
        <w:tc>
          <w:tcPr>
            <w:tcW w:w="405" w:type="pct"/>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声音</w:t>
            </w:r>
          </w:p>
        </w:tc>
        <w:tc>
          <w:tcPr>
            <w:tcW w:w="985" w:type="pct"/>
            <w:vAlign w:val="center"/>
          </w:tcPr>
          <w:p>
            <w:pPr>
              <w:widowControl/>
              <w:spacing w:line="320" w:lineRule="exact"/>
              <w:ind w:left="0" w:leftChars="0" w:right="0" w:rightChars="0" w:firstLine="0" w:firstLineChars="0"/>
              <w:jc w:val="both"/>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 xml:space="preserve">强制要求     </w:t>
            </w:r>
            <w:r>
              <w:rPr>
                <w:rFonts w:hint="eastAsia" w:ascii="仿宋_GB2312" w:hAnsi="仿宋_GB2312" w:eastAsia="仿宋_GB2312" w:cs="仿宋_GB2312"/>
                <w:kern w:val="0"/>
                <w:szCs w:val="21"/>
              </w:rPr>
              <w:sym w:font="Wingdings 2" w:char="00A3"/>
            </w:r>
          </w:p>
          <w:p>
            <w:pPr>
              <w:widowControl/>
              <w:spacing w:line="320" w:lineRule="exact"/>
              <w:ind w:left="0" w:leftChars="0" w:right="0" w:rightChars="0" w:firstLine="0" w:firstLineChars="0"/>
              <w:jc w:val="both"/>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 xml:space="preserve">评分因素     </w:t>
            </w:r>
            <w:r>
              <w:rPr>
                <w:rFonts w:hint="eastAsia" w:ascii="仿宋_GB2312" w:hAnsi="仿宋_GB2312" w:eastAsia="仿宋_GB2312" w:cs="仿宋_GB2312"/>
                <w:kern w:val="0"/>
                <w:szCs w:val="21"/>
              </w:rPr>
              <w:sym w:font="Wingdings" w:char="00FE"/>
            </w:r>
          </w:p>
          <w:p>
            <w:pPr>
              <w:widowControl/>
              <w:spacing w:line="320" w:lineRule="exact"/>
              <w:ind w:left="0" w:leftChars="0" w:right="0" w:rightChars="0" w:firstLine="0" w:firstLineChars="0"/>
              <w:jc w:val="both"/>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 xml:space="preserve">建议作为重要指标，适当增加分值权重       </w:t>
            </w:r>
            <w:r>
              <w:rPr>
                <w:rFonts w:hint="eastAsia" w:ascii="仿宋_GB2312" w:hAnsi="仿宋_GB2312" w:eastAsia="仿宋_GB2312" w:cs="仿宋_GB2312"/>
                <w:kern w:val="0"/>
                <w:szCs w:val="21"/>
              </w:rPr>
              <w:sym w:font="Wingdings" w:char="00A8"/>
            </w:r>
          </w:p>
        </w:tc>
        <w:tc>
          <w:tcPr>
            <w:tcW w:w="1655" w:type="pct"/>
            <w:vAlign w:val="center"/>
          </w:tcPr>
          <w:p>
            <w:pPr>
              <w:widowControl/>
              <w:spacing w:line="320" w:lineRule="exact"/>
              <w:ind w:left="0" w:leftChars="0" w:right="0" w:rightChars="0" w:firstLine="0" w:firstLineChars="0"/>
              <w:jc w:val="both"/>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场景音效、声音解说要求制作逼真，采用专业的普通话进行配音；</w:t>
            </w:r>
          </w:p>
        </w:tc>
        <w:tc>
          <w:tcPr>
            <w:tcW w:w="492" w:type="pct"/>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声音越逼真越好</w:t>
            </w:r>
          </w:p>
        </w:tc>
        <w:tc>
          <w:tcPr>
            <w:tcW w:w="452" w:type="pct"/>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供应商书面承诺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 w:type="pct"/>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9</w:t>
            </w:r>
          </w:p>
        </w:tc>
        <w:tc>
          <w:tcPr>
            <w:tcW w:w="353" w:type="pct"/>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VR沉浸式虚拟仿真系统课程资源</w:t>
            </w:r>
          </w:p>
        </w:tc>
        <w:tc>
          <w:tcPr>
            <w:tcW w:w="416" w:type="pct"/>
            <w:vMerge w:val="continue"/>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p>
        </w:tc>
        <w:tc>
          <w:tcPr>
            <w:tcW w:w="405" w:type="pct"/>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视频</w:t>
            </w:r>
          </w:p>
        </w:tc>
        <w:tc>
          <w:tcPr>
            <w:tcW w:w="985" w:type="pct"/>
            <w:vAlign w:val="center"/>
          </w:tcPr>
          <w:p>
            <w:pPr>
              <w:widowControl/>
              <w:spacing w:line="320" w:lineRule="exact"/>
              <w:ind w:left="0" w:leftChars="0" w:right="0" w:rightChars="0" w:firstLine="0" w:firstLineChars="0"/>
              <w:jc w:val="both"/>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 xml:space="preserve">强制要求     </w:t>
            </w:r>
            <w:r>
              <w:rPr>
                <w:rFonts w:hint="eastAsia" w:ascii="仿宋_GB2312" w:hAnsi="仿宋_GB2312" w:eastAsia="仿宋_GB2312" w:cs="仿宋_GB2312"/>
                <w:kern w:val="0"/>
                <w:szCs w:val="21"/>
              </w:rPr>
              <w:sym w:font="Wingdings 2" w:char="00A3"/>
            </w:r>
          </w:p>
          <w:p>
            <w:pPr>
              <w:widowControl/>
              <w:spacing w:line="320" w:lineRule="exact"/>
              <w:ind w:left="0" w:leftChars="0" w:right="0" w:rightChars="0" w:firstLine="0" w:firstLineChars="0"/>
              <w:jc w:val="both"/>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 xml:space="preserve">评分因素     </w:t>
            </w:r>
            <w:r>
              <w:rPr>
                <w:rFonts w:hint="eastAsia" w:ascii="仿宋_GB2312" w:hAnsi="仿宋_GB2312" w:eastAsia="仿宋_GB2312" w:cs="仿宋_GB2312"/>
                <w:kern w:val="0"/>
                <w:szCs w:val="21"/>
              </w:rPr>
              <w:sym w:font="Wingdings" w:char="00FE"/>
            </w:r>
          </w:p>
          <w:p>
            <w:pPr>
              <w:widowControl/>
              <w:spacing w:line="320" w:lineRule="exact"/>
              <w:ind w:left="0" w:leftChars="0" w:right="0" w:rightChars="0" w:firstLine="0" w:firstLineChars="0"/>
              <w:jc w:val="both"/>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 xml:space="preserve">建议作为重要指标，适当增加分值权重       </w:t>
            </w:r>
            <w:r>
              <w:rPr>
                <w:rFonts w:hint="eastAsia" w:ascii="仿宋_GB2312" w:hAnsi="仿宋_GB2312" w:eastAsia="仿宋_GB2312" w:cs="仿宋_GB2312"/>
                <w:kern w:val="0"/>
                <w:szCs w:val="21"/>
              </w:rPr>
              <w:sym w:font="Wingdings" w:char="00A8"/>
            </w:r>
          </w:p>
        </w:tc>
        <w:tc>
          <w:tcPr>
            <w:tcW w:w="1655" w:type="pct"/>
            <w:vAlign w:val="center"/>
          </w:tcPr>
          <w:p>
            <w:pPr>
              <w:widowControl/>
              <w:spacing w:line="320" w:lineRule="exact"/>
              <w:ind w:left="0" w:leftChars="0" w:right="0" w:rightChars="0" w:firstLine="0" w:firstLineChars="0"/>
              <w:jc w:val="both"/>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在场景对象上可嵌入外部视频文件，视频文件格式支持不少于AVI、WMV格式。要实现视频流的预读取功能，以保证视频播放流畅；</w:t>
            </w:r>
          </w:p>
        </w:tc>
        <w:tc>
          <w:tcPr>
            <w:tcW w:w="492" w:type="pct"/>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提供的功能齐全完整，支持的视频格式越多越好</w:t>
            </w:r>
          </w:p>
        </w:tc>
        <w:tc>
          <w:tcPr>
            <w:tcW w:w="452" w:type="pct"/>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供应商书面承诺</w:t>
            </w:r>
          </w:p>
        </w:tc>
      </w:tr>
    </w:tbl>
    <w:p>
      <w:pPr>
        <w:pStyle w:val="23"/>
      </w:pPr>
    </w:p>
    <w:p>
      <w:pPr>
        <w:pStyle w:val="23"/>
        <w:ind w:firstLine="653"/>
        <w:rPr>
          <w:b/>
          <w:bCs/>
          <w:sz w:val="32"/>
          <w:szCs w:val="32"/>
        </w:rPr>
      </w:pPr>
      <w:r>
        <w:rPr>
          <w:rFonts w:hint="eastAsia"/>
          <w:b/>
          <w:bCs/>
          <w:sz w:val="32"/>
          <w:szCs w:val="32"/>
        </w:rPr>
        <w:t>3.3 AR增强现实沉浸式虚拟仿真实验教学系统课程</w:t>
      </w:r>
    </w:p>
    <w:p>
      <w:pPr>
        <w:pStyle w:val="23"/>
        <w:ind w:firstLine="640"/>
        <w:rPr>
          <w:sz w:val="32"/>
          <w:szCs w:val="32"/>
        </w:rPr>
      </w:pPr>
      <w:r>
        <w:rPr>
          <w:rFonts w:hint="eastAsia"/>
          <w:sz w:val="32"/>
          <w:szCs w:val="32"/>
        </w:rPr>
        <w:t>3.3.1硬件设备</w:t>
      </w:r>
    </w:p>
    <w:p>
      <w:pPr>
        <w:pStyle w:val="23"/>
        <w:ind w:firstLine="640"/>
        <w:rPr>
          <w:sz w:val="32"/>
          <w:szCs w:val="32"/>
        </w:rPr>
      </w:pPr>
      <w:r>
        <w:rPr>
          <w:rFonts w:hint="eastAsia"/>
          <w:sz w:val="32"/>
          <w:szCs w:val="32"/>
        </w:rPr>
        <w:t>包括教师端AR头显1台，AR-MR拍摄套件1套，教师示教AR增强现实电脑1台，86寸互动显示大屏2台，音视频集成讲台1套，示教病床1台，AR学员训练端10套。具体技术参数如下：</w:t>
      </w:r>
    </w:p>
    <w:tbl>
      <w:tblPr>
        <w:tblStyle w:val="11"/>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7"/>
        <w:gridCol w:w="427"/>
        <w:gridCol w:w="741"/>
        <w:gridCol w:w="741"/>
        <w:gridCol w:w="710"/>
        <w:gridCol w:w="1823"/>
        <w:gridCol w:w="2421"/>
        <w:gridCol w:w="955"/>
        <w:gridCol w:w="8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33" w:type="pct"/>
            <w:vAlign w:val="center"/>
          </w:tcPr>
          <w:p>
            <w:pPr>
              <w:widowControl/>
              <w:spacing w:line="320" w:lineRule="exact"/>
              <w:ind w:left="0" w:leftChars="0" w:right="0" w:rightChars="0" w:firstLine="0" w:firstLineChars="0"/>
              <w:jc w:val="center"/>
              <w:rPr>
                <w:rFonts w:hint="eastAsia" w:ascii="仿宋_GB2312" w:hAnsi="仿宋_GB2312" w:eastAsia="仿宋_GB2312" w:cs="仿宋_GB2312"/>
                <w:b/>
                <w:bCs/>
                <w:kern w:val="0"/>
                <w:szCs w:val="21"/>
              </w:rPr>
            </w:pPr>
            <w:r>
              <w:rPr>
                <w:rFonts w:hint="eastAsia" w:ascii="仿宋_GB2312" w:hAnsi="仿宋_GB2312" w:eastAsia="仿宋_GB2312" w:cs="仿宋_GB2312"/>
                <w:b/>
                <w:bCs/>
                <w:kern w:val="0"/>
                <w:szCs w:val="21"/>
              </w:rPr>
              <w:t>序号</w:t>
            </w:r>
          </w:p>
        </w:tc>
        <w:tc>
          <w:tcPr>
            <w:tcW w:w="235" w:type="pct"/>
            <w:vAlign w:val="center"/>
          </w:tcPr>
          <w:p>
            <w:pPr>
              <w:widowControl/>
              <w:spacing w:line="320" w:lineRule="exact"/>
              <w:ind w:left="0" w:leftChars="0" w:right="0" w:rightChars="0" w:firstLine="0" w:firstLineChars="0"/>
              <w:jc w:val="center"/>
              <w:rPr>
                <w:rFonts w:hint="eastAsia" w:ascii="仿宋_GB2312" w:hAnsi="仿宋_GB2312" w:eastAsia="仿宋_GB2312" w:cs="仿宋_GB2312"/>
                <w:b/>
                <w:bCs/>
                <w:kern w:val="0"/>
                <w:szCs w:val="21"/>
              </w:rPr>
            </w:pPr>
            <w:r>
              <w:rPr>
                <w:rFonts w:hint="eastAsia" w:ascii="仿宋_GB2312" w:hAnsi="仿宋_GB2312" w:eastAsia="仿宋_GB2312" w:cs="仿宋_GB2312"/>
                <w:b/>
                <w:bCs/>
                <w:kern w:val="0"/>
                <w:szCs w:val="21"/>
              </w:rPr>
              <w:t>分类</w:t>
            </w:r>
          </w:p>
        </w:tc>
        <w:tc>
          <w:tcPr>
            <w:tcW w:w="417" w:type="pct"/>
            <w:vAlign w:val="center"/>
          </w:tcPr>
          <w:p>
            <w:pPr>
              <w:widowControl/>
              <w:spacing w:line="320" w:lineRule="exact"/>
              <w:ind w:left="0" w:leftChars="0" w:right="0" w:rightChars="0" w:firstLine="0" w:firstLineChars="0"/>
              <w:jc w:val="center"/>
              <w:rPr>
                <w:rFonts w:hint="eastAsia" w:ascii="仿宋_GB2312" w:hAnsi="仿宋_GB2312" w:eastAsia="仿宋_GB2312" w:cs="仿宋_GB2312"/>
                <w:b/>
                <w:bCs/>
                <w:kern w:val="0"/>
                <w:szCs w:val="21"/>
              </w:rPr>
            </w:pPr>
            <w:r>
              <w:rPr>
                <w:rFonts w:hint="eastAsia" w:ascii="仿宋_GB2312" w:hAnsi="仿宋_GB2312" w:eastAsia="仿宋_GB2312" w:cs="仿宋_GB2312"/>
                <w:b/>
                <w:bCs/>
                <w:kern w:val="0"/>
                <w:szCs w:val="21"/>
              </w:rPr>
              <w:t>一级</w:t>
            </w:r>
          </w:p>
          <w:p>
            <w:pPr>
              <w:widowControl/>
              <w:spacing w:line="320" w:lineRule="exact"/>
              <w:ind w:left="0" w:leftChars="0" w:right="0" w:rightChars="0" w:firstLine="0" w:firstLineChars="0"/>
              <w:jc w:val="center"/>
              <w:rPr>
                <w:rFonts w:hint="eastAsia" w:ascii="仿宋_GB2312" w:hAnsi="仿宋_GB2312" w:eastAsia="仿宋_GB2312" w:cs="仿宋_GB2312"/>
                <w:b/>
                <w:bCs/>
                <w:kern w:val="0"/>
                <w:szCs w:val="21"/>
              </w:rPr>
            </w:pPr>
            <w:r>
              <w:rPr>
                <w:rFonts w:hint="eastAsia" w:ascii="仿宋_GB2312" w:hAnsi="仿宋_GB2312" w:eastAsia="仿宋_GB2312" w:cs="仿宋_GB2312"/>
                <w:b/>
                <w:bCs/>
                <w:kern w:val="0"/>
                <w:szCs w:val="21"/>
              </w:rPr>
              <w:t>指标</w:t>
            </w:r>
          </w:p>
        </w:tc>
        <w:tc>
          <w:tcPr>
            <w:tcW w:w="368" w:type="pct"/>
            <w:vAlign w:val="center"/>
          </w:tcPr>
          <w:p>
            <w:pPr>
              <w:widowControl/>
              <w:spacing w:line="320" w:lineRule="exact"/>
              <w:ind w:left="0" w:leftChars="0" w:right="0" w:rightChars="0" w:firstLine="0" w:firstLineChars="0"/>
              <w:jc w:val="center"/>
              <w:rPr>
                <w:rFonts w:hint="eastAsia" w:ascii="仿宋_GB2312" w:hAnsi="仿宋_GB2312" w:eastAsia="仿宋_GB2312" w:cs="仿宋_GB2312"/>
                <w:b/>
                <w:bCs/>
                <w:kern w:val="0"/>
                <w:szCs w:val="21"/>
              </w:rPr>
            </w:pPr>
            <w:r>
              <w:rPr>
                <w:rFonts w:hint="eastAsia" w:ascii="仿宋_GB2312" w:hAnsi="仿宋_GB2312" w:eastAsia="仿宋_GB2312" w:cs="仿宋_GB2312"/>
                <w:b/>
                <w:bCs/>
                <w:kern w:val="0"/>
                <w:szCs w:val="21"/>
              </w:rPr>
              <w:t>二级</w:t>
            </w:r>
          </w:p>
          <w:p>
            <w:pPr>
              <w:widowControl/>
              <w:spacing w:line="320" w:lineRule="exact"/>
              <w:ind w:left="0" w:leftChars="0" w:right="0" w:rightChars="0" w:firstLine="0" w:firstLineChars="0"/>
              <w:jc w:val="center"/>
              <w:rPr>
                <w:rFonts w:hint="eastAsia" w:ascii="仿宋_GB2312" w:hAnsi="仿宋_GB2312" w:eastAsia="仿宋_GB2312" w:cs="仿宋_GB2312"/>
                <w:b/>
                <w:bCs/>
                <w:kern w:val="0"/>
                <w:szCs w:val="21"/>
              </w:rPr>
            </w:pPr>
            <w:r>
              <w:rPr>
                <w:rFonts w:hint="eastAsia" w:ascii="仿宋_GB2312" w:hAnsi="仿宋_GB2312" w:eastAsia="仿宋_GB2312" w:cs="仿宋_GB2312"/>
                <w:b/>
                <w:bCs/>
                <w:kern w:val="0"/>
                <w:szCs w:val="21"/>
              </w:rPr>
              <w:t>指标</w:t>
            </w:r>
          </w:p>
        </w:tc>
        <w:tc>
          <w:tcPr>
            <w:tcW w:w="428" w:type="pct"/>
            <w:vAlign w:val="center"/>
          </w:tcPr>
          <w:p>
            <w:pPr>
              <w:widowControl/>
              <w:spacing w:line="320" w:lineRule="exact"/>
              <w:ind w:left="0" w:leftChars="0" w:right="0" w:rightChars="0" w:firstLine="0" w:firstLineChars="0"/>
              <w:jc w:val="center"/>
              <w:rPr>
                <w:rFonts w:hint="eastAsia" w:ascii="仿宋_GB2312" w:hAnsi="仿宋_GB2312" w:eastAsia="仿宋_GB2312" w:cs="仿宋_GB2312"/>
                <w:b/>
                <w:bCs/>
                <w:kern w:val="0"/>
                <w:szCs w:val="21"/>
              </w:rPr>
            </w:pPr>
            <w:r>
              <w:rPr>
                <w:rFonts w:hint="eastAsia" w:ascii="仿宋_GB2312" w:hAnsi="仿宋_GB2312" w:eastAsia="仿宋_GB2312" w:cs="仿宋_GB2312"/>
                <w:b/>
                <w:bCs/>
                <w:kern w:val="0"/>
                <w:szCs w:val="21"/>
              </w:rPr>
              <w:t>三级及以下指标</w:t>
            </w:r>
          </w:p>
        </w:tc>
        <w:tc>
          <w:tcPr>
            <w:tcW w:w="1028" w:type="pct"/>
            <w:vAlign w:val="center"/>
          </w:tcPr>
          <w:p>
            <w:pPr>
              <w:widowControl/>
              <w:spacing w:line="320" w:lineRule="exact"/>
              <w:ind w:left="0" w:leftChars="0" w:right="0" w:rightChars="0" w:firstLine="0" w:firstLineChars="0"/>
              <w:jc w:val="center"/>
              <w:rPr>
                <w:rFonts w:hint="eastAsia" w:ascii="仿宋_GB2312" w:hAnsi="仿宋_GB2312" w:eastAsia="仿宋_GB2312" w:cs="仿宋_GB2312"/>
                <w:b/>
                <w:bCs/>
                <w:kern w:val="0"/>
                <w:szCs w:val="21"/>
              </w:rPr>
            </w:pPr>
            <w:r>
              <w:rPr>
                <w:rFonts w:hint="eastAsia" w:ascii="仿宋_GB2312" w:hAnsi="仿宋_GB2312" w:eastAsia="仿宋_GB2312" w:cs="仿宋_GB2312"/>
                <w:b/>
                <w:bCs/>
                <w:kern w:val="0"/>
                <w:szCs w:val="21"/>
              </w:rPr>
              <w:t>是否作为强制要求及评分因素等</w:t>
            </w:r>
          </w:p>
        </w:tc>
        <w:tc>
          <w:tcPr>
            <w:tcW w:w="1269" w:type="pct"/>
            <w:vAlign w:val="center"/>
          </w:tcPr>
          <w:p>
            <w:pPr>
              <w:widowControl/>
              <w:spacing w:line="320" w:lineRule="exact"/>
              <w:ind w:left="0" w:leftChars="0" w:right="0" w:rightChars="0" w:firstLine="0" w:firstLineChars="0"/>
              <w:jc w:val="center"/>
              <w:rPr>
                <w:rFonts w:hint="eastAsia" w:ascii="仿宋_GB2312" w:hAnsi="仿宋_GB2312" w:eastAsia="仿宋_GB2312" w:cs="仿宋_GB2312"/>
                <w:b/>
                <w:bCs/>
                <w:kern w:val="0"/>
                <w:szCs w:val="21"/>
              </w:rPr>
            </w:pPr>
            <w:r>
              <w:rPr>
                <w:rFonts w:hint="eastAsia" w:ascii="仿宋_GB2312" w:hAnsi="仿宋_GB2312" w:eastAsia="仿宋_GB2312" w:cs="仿宋_GB2312"/>
                <w:b/>
                <w:bCs/>
                <w:kern w:val="0"/>
                <w:szCs w:val="21"/>
              </w:rPr>
              <w:t>指标要求</w:t>
            </w:r>
          </w:p>
        </w:tc>
        <w:tc>
          <w:tcPr>
            <w:tcW w:w="549" w:type="pct"/>
            <w:vAlign w:val="center"/>
          </w:tcPr>
          <w:p>
            <w:pPr>
              <w:widowControl/>
              <w:spacing w:line="320" w:lineRule="exact"/>
              <w:ind w:left="0" w:leftChars="0" w:right="0" w:rightChars="0" w:firstLine="0" w:firstLineChars="0"/>
              <w:jc w:val="center"/>
              <w:rPr>
                <w:rFonts w:hint="eastAsia" w:ascii="仿宋_GB2312" w:hAnsi="仿宋_GB2312" w:eastAsia="仿宋_GB2312" w:cs="仿宋_GB2312"/>
                <w:b/>
                <w:bCs/>
                <w:kern w:val="0"/>
                <w:szCs w:val="21"/>
              </w:rPr>
            </w:pPr>
            <w:r>
              <w:rPr>
                <w:rFonts w:hint="eastAsia" w:ascii="仿宋_GB2312" w:hAnsi="仿宋_GB2312" w:eastAsia="仿宋_GB2312" w:cs="仿宋_GB2312"/>
                <w:b/>
                <w:bCs/>
                <w:kern w:val="0"/>
                <w:szCs w:val="21"/>
              </w:rPr>
              <w:t>指标使用说明</w:t>
            </w:r>
          </w:p>
        </w:tc>
        <w:tc>
          <w:tcPr>
            <w:tcW w:w="469" w:type="pct"/>
            <w:vAlign w:val="center"/>
          </w:tcPr>
          <w:p>
            <w:pPr>
              <w:widowControl/>
              <w:spacing w:line="320" w:lineRule="exact"/>
              <w:ind w:left="0" w:leftChars="0" w:right="0" w:rightChars="0" w:firstLine="0" w:firstLineChars="0"/>
              <w:jc w:val="center"/>
              <w:rPr>
                <w:rFonts w:hint="eastAsia" w:ascii="仿宋_GB2312" w:hAnsi="仿宋_GB2312" w:eastAsia="仿宋_GB2312" w:cs="仿宋_GB2312"/>
                <w:b/>
                <w:bCs/>
                <w:kern w:val="0"/>
                <w:szCs w:val="21"/>
              </w:rPr>
            </w:pPr>
            <w:r>
              <w:rPr>
                <w:rFonts w:hint="eastAsia" w:ascii="仿宋_GB2312" w:hAnsi="仿宋_GB2312" w:eastAsia="仿宋_GB2312" w:cs="仿宋_GB2312"/>
                <w:b/>
                <w:bCs/>
                <w:kern w:val="0"/>
                <w:szCs w:val="21"/>
              </w:rPr>
              <w:t>证明方式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 w:type="pct"/>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1</w:t>
            </w:r>
          </w:p>
        </w:tc>
        <w:tc>
          <w:tcPr>
            <w:tcW w:w="235" w:type="pct"/>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产品规格</w:t>
            </w:r>
          </w:p>
        </w:tc>
        <w:tc>
          <w:tcPr>
            <w:tcW w:w="417" w:type="pct"/>
            <w:vMerge w:val="restart"/>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AR增强现实头显</w:t>
            </w:r>
          </w:p>
        </w:tc>
        <w:tc>
          <w:tcPr>
            <w:tcW w:w="368" w:type="pct"/>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头显数量</w:t>
            </w:r>
          </w:p>
        </w:tc>
        <w:tc>
          <w:tcPr>
            <w:tcW w:w="428" w:type="pct"/>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w:t>
            </w:r>
          </w:p>
        </w:tc>
        <w:tc>
          <w:tcPr>
            <w:tcW w:w="1028" w:type="pct"/>
            <w:vAlign w:val="center"/>
          </w:tcPr>
          <w:p>
            <w:pPr>
              <w:widowControl/>
              <w:spacing w:line="320" w:lineRule="exact"/>
              <w:ind w:left="0" w:leftChars="0" w:right="0" w:rightChars="0" w:firstLine="0" w:firstLineChars="0"/>
              <w:jc w:val="both"/>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 xml:space="preserve">强制要求     </w:t>
            </w:r>
            <w:r>
              <w:rPr>
                <w:rFonts w:hint="eastAsia" w:ascii="仿宋_GB2312" w:hAnsi="仿宋_GB2312" w:eastAsia="仿宋_GB2312" w:cs="仿宋_GB2312"/>
                <w:kern w:val="0"/>
                <w:szCs w:val="21"/>
              </w:rPr>
              <w:sym w:font="Wingdings 2" w:char="0052"/>
            </w:r>
          </w:p>
          <w:p>
            <w:pPr>
              <w:widowControl/>
              <w:spacing w:line="320" w:lineRule="exact"/>
              <w:ind w:left="0" w:leftChars="0" w:right="0" w:rightChars="0" w:firstLine="0" w:firstLineChars="0"/>
              <w:jc w:val="both"/>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 xml:space="preserve">评分因素     </w:t>
            </w:r>
            <w:r>
              <w:rPr>
                <w:rFonts w:hint="eastAsia" w:ascii="仿宋_GB2312" w:hAnsi="仿宋_GB2312" w:eastAsia="仿宋_GB2312" w:cs="仿宋_GB2312"/>
                <w:kern w:val="0"/>
                <w:szCs w:val="21"/>
              </w:rPr>
              <w:sym w:font="Wingdings" w:char="00A8"/>
            </w:r>
          </w:p>
          <w:p>
            <w:pPr>
              <w:widowControl/>
              <w:spacing w:line="320" w:lineRule="exact"/>
              <w:ind w:left="0" w:leftChars="0" w:right="0" w:rightChars="0" w:firstLine="0" w:firstLineChars="0"/>
              <w:jc w:val="both"/>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 xml:space="preserve">建议作为重要指标，适当增加分值权重         </w:t>
            </w:r>
            <w:r>
              <w:rPr>
                <w:rFonts w:hint="eastAsia" w:ascii="仿宋_GB2312" w:hAnsi="仿宋_GB2312" w:eastAsia="仿宋_GB2312" w:cs="仿宋_GB2312"/>
                <w:kern w:val="0"/>
                <w:szCs w:val="21"/>
              </w:rPr>
              <w:sym w:font="Wingdings" w:char="00A8"/>
            </w:r>
          </w:p>
        </w:tc>
        <w:tc>
          <w:tcPr>
            <w:tcW w:w="1269" w:type="pct"/>
            <w:vAlign w:val="center"/>
          </w:tcPr>
          <w:p>
            <w:pPr>
              <w:widowControl/>
              <w:spacing w:line="320" w:lineRule="exact"/>
              <w:ind w:left="0" w:leftChars="0" w:right="0" w:rightChars="0" w:firstLine="0" w:firstLineChars="0"/>
              <w:jc w:val="both"/>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AR增强现实头显×11</w:t>
            </w:r>
          </w:p>
        </w:tc>
        <w:tc>
          <w:tcPr>
            <w:tcW w:w="549" w:type="pct"/>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教师端头显1台，学生端头显10台</w:t>
            </w:r>
          </w:p>
        </w:tc>
        <w:tc>
          <w:tcPr>
            <w:tcW w:w="469" w:type="pct"/>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供应商书面承诺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 w:type="pct"/>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2</w:t>
            </w:r>
          </w:p>
        </w:tc>
        <w:tc>
          <w:tcPr>
            <w:tcW w:w="235" w:type="pct"/>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产品规格</w:t>
            </w:r>
          </w:p>
        </w:tc>
        <w:tc>
          <w:tcPr>
            <w:tcW w:w="417" w:type="pct"/>
            <w:vMerge w:val="continue"/>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p>
        </w:tc>
        <w:tc>
          <w:tcPr>
            <w:tcW w:w="368" w:type="pct"/>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光学系统</w:t>
            </w:r>
          </w:p>
        </w:tc>
        <w:tc>
          <w:tcPr>
            <w:tcW w:w="428" w:type="pct"/>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w:t>
            </w:r>
          </w:p>
        </w:tc>
        <w:tc>
          <w:tcPr>
            <w:tcW w:w="1028" w:type="pct"/>
            <w:vAlign w:val="center"/>
          </w:tcPr>
          <w:p>
            <w:pPr>
              <w:widowControl/>
              <w:spacing w:line="320" w:lineRule="exact"/>
              <w:ind w:left="0" w:leftChars="0" w:right="0" w:rightChars="0" w:firstLine="0" w:firstLineChars="0"/>
              <w:jc w:val="both"/>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 xml:space="preserve">强制要求     </w:t>
            </w:r>
            <w:r>
              <w:rPr>
                <w:rFonts w:hint="eastAsia" w:ascii="仿宋_GB2312" w:hAnsi="仿宋_GB2312" w:eastAsia="仿宋_GB2312" w:cs="仿宋_GB2312"/>
                <w:kern w:val="0"/>
                <w:szCs w:val="21"/>
              </w:rPr>
              <w:sym w:font="Wingdings 2" w:char="00A3"/>
            </w:r>
          </w:p>
          <w:p>
            <w:pPr>
              <w:widowControl/>
              <w:spacing w:line="320" w:lineRule="exact"/>
              <w:ind w:left="0" w:leftChars="0" w:right="0" w:rightChars="0" w:firstLine="0" w:firstLineChars="0"/>
              <w:jc w:val="both"/>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 xml:space="preserve">评分因素     </w:t>
            </w:r>
            <w:r>
              <w:rPr>
                <w:rFonts w:hint="eastAsia" w:ascii="仿宋_GB2312" w:hAnsi="仿宋_GB2312" w:eastAsia="仿宋_GB2312" w:cs="仿宋_GB2312"/>
                <w:kern w:val="0"/>
                <w:szCs w:val="21"/>
              </w:rPr>
              <w:sym w:font="Wingdings" w:char="00FE"/>
            </w:r>
          </w:p>
          <w:p>
            <w:pPr>
              <w:widowControl/>
              <w:spacing w:line="320" w:lineRule="exact"/>
              <w:ind w:left="0" w:leftChars="0" w:right="0" w:rightChars="0" w:firstLine="0" w:firstLineChars="0"/>
              <w:jc w:val="both"/>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 xml:space="preserve">建议作为重要指标，适当增加分值权重         </w:t>
            </w:r>
            <w:r>
              <w:rPr>
                <w:rFonts w:hint="eastAsia" w:ascii="仿宋_GB2312" w:hAnsi="仿宋_GB2312" w:eastAsia="仿宋_GB2312" w:cs="仿宋_GB2312"/>
                <w:kern w:val="0"/>
                <w:szCs w:val="21"/>
              </w:rPr>
              <w:sym w:font="Wingdings" w:char="00A8"/>
            </w:r>
          </w:p>
        </w:tc>
        <w:tc>
          <w:tcPr>
            <w:tcW w:w="1269" w:type="pct"/>
            <w:vAlign w:val="center"/>
          </w:tcPr>
          <w:p>
            <w:pPr>
              <w:widowControl/>
              <w:spacing w:line="320" w:lineRule="exact"/>
              <w:ind w:left="0" w:leftChars="0" w:right="0" w:rightChars="0" w:firstLine="0" w:firstLineChars="0"/>
              <w:jc w:val="both"/>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衍射光栅波导；视场角≥52°对角线视场角，水平视场角≥43°，垂直视场角≥29°；</w:t>
            </w:r>
          </w:p>
        </w:tc>
        <w:tc>
          <w:tcPr>
            <w:tcW w:w="549" w:type="pct"/>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根据产品公开参数指标为准</w:t>
            </w:r>
          </w:p>
        </w:tc>
        <w:tc>
          <w:tcPr>
            <w:tcW w:w="469" w:type="pct"/>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查看厂商产品声明文件或者产品说明书（规格书）或者公开发布的宣传彩页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 w:type="pct"/>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3</w:t>
            </w:r>
          </w:p>
        </w:tc>
        <w:tc>
          <w:tcPr>
            <w:tcW w:w="235" w:type="pct"/>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产品规格</w:t>
            </w:r>
          </w:p>
        </w:tc>
        <w:tc>
          <w:tcPr>
            <w:tcW w:w="417" w:type="pct"/>
            <w:vMerge w:val="continue"/>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p>
        </w:tc>
        <w:tc>
          <w:tcPr>
            <w:tcW w:w="368" w:type="pct"/>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分辨率、环境跟踪系统、眼动跟踪系统、深度跟踪系统</w:t>
            </w:r>
          </w:p>
        </w:tc>
        <w:tc>
          <w:tcPr>
            <w:tcW w:w="428" w:type="pct"/>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w:t>
            </w:r>
          </w:p>
        </w:tc>
        <w:tc>
          <w:tcPr>
            <w:tcW w:w="1028" w:type="pct"/>
            <w:vAlign w:val="center"/>
          </w:tcPr>
          <w:p>
            <w:pPr>
              <w:widowControl/>
              <w:spacing w:line="320" w:lineRule="exact"/>
              <w:ind w:left="0" w:leftChars="0" w:right="0" w:rightChars="0" w:firstLine="0" w:firstLineChars="0"/>
              <w:jc w:val="both"/>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 xml:space="preserve">强制要求     </w:t>
            </w:r>
            <w:r>
              <w:rPr>
                <w:rFonts w:hint="eastAsia" w:ascii="仿宋_GB2312" w:hAnsi="仿宋_GB2312" w:eastAsia="仿宋_GB2312" w:cs="仿宋_GB2312"/>
                <w:kern w:val="0"/>
                <w:szCs w:val="21"/>
              </w:rPr>
              <w:sym w:font="Wingdings 2" w:char="00A3"/>
            </w:r>
          </w:p>
          <w:p>
            <w:pPr>
              <w:widowControl/>
              <w:spacing w:line="320" w:lineRule="exact"/>
              <w:ind w:left="0" w:leftChars="0" w:right="0" w:rightChars="0" w:firstLine="0" w:firstLineChars="0"/>
              <w:jc w:val="both"/>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 xml:space="preserve">评分因素     </w:t>
            </w:r>
            <w:r>
              <w:rPr>
                <w:rFonts w:hint="eastAsia" w:ascii="仿宋_GB2312" w:hAnsi="仿宋_GB2312" w:eastAsia="仿宋_GB2312" w:cs="仿宋_GB2312"/>
                <w:kern w:val="0"/>
                <w:szCs w:val="21"/>
              </w:rPr>
              <w:sym w:font="Wingdings" w:char="00FE"/>
            </w:r>
          </w:p>
          <w:p>
            <w:pPr>
              <w:widowControl/>
              <w:spacing w:line="320" w:lineRule="exact"/>
              <w:ind w:left="0" w:leftChars="0" w:right="0" w:rightChars="0" w:firstLine="0" w:firstLineChars="0"/>
              <w:jc w:val="both"/>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 xml:space="preserve">建议作为重要指标，适当增加分值权重         </w:t>
            </w:r>
            <w:r>
              <w:rPr>
                <w:rFonts w:hint="eastAsia" w:ascii="仿宋_GB2312" w:hAnsi="仿宋_GB2312" w:eastAsia="仿宋_GB2312" w:cs="仿宋_GB2312"/>
                <w:kern w:val="0"/>
                <w:szCs w:val="21"/>
              </w:rPr>
              <w:sym w:font="Wingdings" w:char="00FE"/>
            </w:r>
          </w:p>
        </w:tc>
        <w:tc>
          <w:tcPr>
            <w:tcW w:w="1269" w:type="pct"/>
            <w:vAlign w:val="center"/>
          </w:tcPr>
          <w:p>
            <w:pPr>
              <w:widowControl/>
              <w:spacing w:line="320" w:lineRule="exact"/>
              <w:ind w:left="0" w:leftChars="0" w:right="0" w:rightChars="0" w:firstLine="0" w:firstLineChars="0"/>
              <w:jc w:val="both"/>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分辨率≥2K；环境跟踪系统≥3个可见光摄像头；眼动跟踪系统≥2台红外摄像机；深度跟踪系统≥100万像素飞行时间传感器；</w:t>
            </w:r>
          </w:p>
        </w:tc>
        <w:tc>
          <w:tcPr>
            <w:tcW w:w="549" w:type="pct"/>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要求的规格越高越好</w:t>
            </w:r>
          </w:p>
        </w:tc>
        <w:tc>
          <w:tcPr>
            <w:tcW w:w="469" w:type="pct"/>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供应商书面承诺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 w:type="pct"/>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4</w:t>
            </w:r>
          </w:p>
        </w:tc>
        <w:tc>
          <w:tcPr>
            <w:tcW w:w="235" w:type="pct"/>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产品规格</w:t>
            </w:r>
          </w:p>
        </w:tc>
        <w:tc>
          <w:tcPr>
            <w:tcW w:w="417" w:type="pct"/>
            <w:vMerge w:val="continue"/>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p>
        </w:tc>
        <w:tc>
          <w:tcPr>
            <w:tcW w:w="368" w:type="pct"/>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手势跟踪</w:t>
            </w:r>
          </w:p>
        </w:tc>
        <w:tc>
          <w:tcPr>
            <w:tcW w:w="428" w:type="pct"/>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w:t>
            </w:r>
          </w:p>
        </w:tc>
        <w:tc>
          <w:tcPr>
            <w:tcW w:w="1028" w:type="pct"/>
            <w:vAlign w:val="center"/>
          </w:tcPr>
          <w:p>
            <w:pPr>
              <w:widowControl/>
              <w:spacing w:line="320" w:lineRule="exact"/>
              <w:ind w:left="0" w:leftChars="0" w:right="0" w:rightChars="0" w:firstLine="0" w:firstLineChars="0"/>
              <w:jc w:val="both"/>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 xml:space="preserve">强制要求     </w:t>
            </w:r>
            <w:r>
              <w:rPr>
                <w:rFonts w:hint="eastAsia" w:ascii="仿宋_GB2312" w:hAnsi="仿宋_GB2312" w:eastAsia="仿宋_GB2312" w:cs="仿宋_GB2312"/>
                <w:kern w:val="0"/>
                <w:szCs w:val="21"/>
              </w:rPr>
              <w:sym w:font="Wingdings 2" w:char="00A3"/>
            </w:r>
          </w:p>
          <w:p>
            <w:pPr>
              <w:widowControl/>
              <w:spacing w:line="320" w:lineRule="exact"/>
              <w:ind w:left="0" w:leftChars="0" w:right="0" w:rightChars="0" w:firstLine="0" w:firstLineChars="0"/>
              <w:jc w:val="both"/>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 xml:space="preserve">评分因素     </w:t>
            </w:r>
            <w:r>
              <w:rPr>
                <w:rFonts w:hint="eastAsia" w:ascii="仿宋_GB2312" w:hAnsi="仿宋_GB2312" w:eastAsia="仿宋_GB2312" w:cs="仿宋_GB2312"/>
                <w:kern w:val="0"/>
                <w:szCs w:val="21"/>
              </w:rPr>
              <w:sym w:font="Wingdings" w:char="00FE"/>
            </w:r>
          </w:p>
          <w:p>
            <w:pPr>
              <w:widowControl/>
              <w:spacing w:line="320" w:lineRule="exact"/>
              <w:ind w:left="0" w:leftChars="0" w:right="0" w:rightChars="0" w:firstLine="0" w:firstLineChars="0"/>
              <w:jc w:val="both"/>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 xml:space="preserve">建议作为重要指标，适当增加分值权重         </w:t>
            </w:r>
            <w:r>
              <w:rPr>
                <w:rFonts w:hint="eastAsia" w:ascii="仿宋_GB2312" w:hAnsi="仿宋_GB2312" w:eastAsia="仿宋_GB2312" w:cs="仿宋_GB2312"/>
                <w:kern w:val="0"/>
                <w:szCs w:val="21"/>
              </w:rPr>
              <w:sym w:font="Wingdings" w:char="00A8"/>
            </w:r>
          </w:p>
        </w:tc>
        <w:tc>
          <w:tcPr>
            <w:tcW w:w="1269" w:type="pct"/>
            <w:vAlign w:val="center"/>
          </w:tcPr>
          <w:p>
            <w:pPr>
              <w:widowControl/>
              <w:spacing w:line="320" w:lineRule="exact"/>
              <w:ind w:left="0" w:leftChars="0" w:right="0" w:rightChars="0" w:firstLine="0" w:firstLineChars="0"/>
              <w:jc w:val="both"/>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双手全关节跟踪；语音识别：语音交互；眼动跟踪：实时眼动跟踪；IMU：加速度计，陀螺仪，磁力传感器；</w:t>
            </w:r>
          </w:p>
        </w:tc>
        <w:tc>
          <w:tcPr>
            <w:tcW w:w="549" w:type="pct"/>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要求的功能和设备齐全完整</w:t>
            </w:r>
          </w:p>
        </w:tc>
        <w:tc>
          <w:tcPr>
            <w:tcW w:w="469" w:type="pct"/>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供应商书面承诺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 w:type="pct"/>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5</w:t>
            </w:r>
          </w:p>
        </w:tc>
        <w:tc>
          <w:tcPr>
            <w:tcW w:w="235" w:type="pct"/>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产品规格</w:t>
            </w:r>
          </w:p>
        </w:tc>
        <w:tc>
          <w:tcPr>
            <w:tcW w:w="417" w:type="pct"/>
            <w:vMerge w:val="continue"/>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p>
        </w:tc>
        <w:tc>
          <w:tcPr>
            <w:tcW w:w="368" w:type="pct"/>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前置相机</w:t>
            </w:r>
          </w:p>
        </w:tc>
        <w:tc>
          <w:tcPr>
            <w:tcW w:w="428" w:type="pct"/>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w:t>
            </w:r>
          </w:p>
        </w:tc>
        <w:tc>
          <w:tcPr>
            <w:tcW w:w="1028" w:type="pct"/>
            <w:vAlign w:val="center"/>
          </w:tcPr>
          <w:p>
            <w:pPr>
              <w:widowControl/>
              <w:spacing w:line="320" w:lineRule="exact"/>
              <w:ind w:left="0" w:leftChars="0" w:right="0" w:rightChars="0" w:firstLine="0" w:firstLineChars="0"/>
              <w:jc w:val="both"/>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 xml:space="preserve">强制要求     </w:t>
            </w:r>
            <w:r>
              <w:rPr>
                <w:rFonts w:hint="eastAsia" w:ascii="仿宋_GB2312" w:hAnsi="仿宋_GB2312" w:eastAsia="仿宋_GB2312" w:cs="仿宋_GB2312"/>
                <w:kern w:val="0"/>
                <w:szCs w:val="21"/>
              </w:rPr>
              <w:sym w:font="Wingdings 2" w:char="00A3"/>
            </w:r>
          </w:p>
          <w:p>
            <w:pPr>
              <w:widowControl/>
              <w:spacing w:line="320" w:lineRule="exact"/>
              <w:ind w:left="0" w:leftChars="0" w:right="0" w:rightChars="0" w:firstLine="0" w:firstLineChars="0"/>
              <w:jc w:val="both"/>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 xml:space="preserve">评分因素     </w:t>
            </w:r>
            <w:r>
              <w:rPr>
                <w:rFonts w:hint="eastAsia" w:ascii="仿宋_GB2312" w:hAnsi="仿宋_GB2312" w:eastAsia="仿宋_GB2312" w:cs="仿宋_GB2312"/>
                <w:kern w:val="0"/>
                <w:szCs w:val="21"/>
              </w:rPr>
              <w:sym w:font="Wingdings" w:char="00FE"/>
            </w:r>
          </w:p>
          <w:p>
            <w:pPr>
              <w:widowControl/>
              <w:spacing w:line="320" w:lineRule="exact"/>
              <w:ind w:left="0" w:leftChars="0" w:right="0" w:rightChars="0" w:firstLine="0" w:firstLineChars="0"/>
              <w:jc w:val="both"/>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 xml:space="preserve">建议作为重要指标，适当增加分值权重         </w:t>
            </w:r>
            <w:r>
              <w:rPr>
                <w:rFonts w:hint="eastAsia" w:ascii="仿宋_GB2312" w:hAnsi="仿宋_GB2312" w:eastAsia="仿宋_GB2312" w:cs="仿宋_GB2312"/>
                <w:kern w:val="0"/>
                <w:szCs w:val="21"/>
              </w:rPr>
              <w:sym w:font="Wingdings" w:char="00A8"/>
            </w:r>
          </w:p>
        </w:tc>
        <w:tc>
          <w:tcPr>
            <w:tcW w:w="1269" w:type="pct"/>
            <w:vAlign w:val="center"/>
          </w:tcPr>
          <w:p>
            <w:pPr>
              <w:widowControl/>
              <w:spacing w:line="320" w:lineRule="exact"/>
              <w:ind w:left="0" w:leftChars="0" w:right="0" w:rightChars="0" w:firstLine="0" w:firstLineChars="0"/>
              <w:jc w:val="both"/>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前置相机≥600万像素，输出≥1080p视频；</w:t>
            </w:r>
          </w:p>
        </w:tc>
        <w:tc>
          <w:tcPr>
            <w:tcW w:w="549" w:type="pct"/>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像素和视频清晰度越高越好</w:t>
            </w:r>
          </w:p>
        </w:tc>
        <w:tc>
          <w:tcPr>
            <w:tcW w:w="469" w:type="pct"/>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供应商书面承诺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 w:type="pct"/>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6</w:t>
            </w:r>
          </w:p>
        </w:tc>
        <w:tc>
          <w:tcPr>
            <w:tcW w:w="235" w:type="pct"/>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产品规格</w:t>
            </w:r>
          </w:p>
        </w:tc>
        <w:tc>
          <w:tcPr>
            <w:tcW w:w="417" w:type="pct"/>
            <w:vMerge w:val="continue"/>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p>
        </w:tc>
        <w:tc>
          <w:tcPr>
            <w:tcW w:w="368" w:type="pct"/>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空间定位和空间映射</w:t>
            </w:r>
          </w:p>
        </w:tc>
        <w:tc>
          <w:tcPr>
            <w:tcW w:w="428" w:type="pct"/>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w:t>
            </w:r>
          </w:p>
        </w:tc>
        <w:tc>
          <w:tcPr>
            <w:tcW w:w="1028" w:type="pct"/>
            <w:vAlign w:val="center"/>
          </w:tcPr>
          <w:p>
            <w:pPr>
              <w:widowControl/>
              <w:spacing w:line="320" w:lineRule="exact"/>
              <w:ind w:left="0" w:leftChars="0" w:right="0" w:rightChars="0" w:firstLine="0" w:firstLineChars="0"/>
              <w:jc w:val="both"/>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 xml:space="preserve">强制要求     </w:t>
            </w:r>
            <w:r>
              <w:rPr>
                <w:rFonts w:hint="eastAsia" w:ascii="仿宋_GB2312" w:hAnsi="仿宋_GB2312" w:eastAsia="仿宋_GB2312" w:cs="仿宋_GB2312"/>
                <w:kern w:val="0"/>
                <w:szCs w:val="21"/>
              </w:rPr>
              <w:sym w:font="Wingdings 2" w:char="00A3"/>
            </w:r>
          </w:p>
          <w:p>
            <w:pPr>
              <w:widowControl/>
              <w:spacing w:line="320" w:lineRule="exact"/>
              <w:ind w:left="0" w:leftChars="0" w:right="0" w:rightChars="0" w:firstLine="0" w:firstLineChars="0"/>
              <w:jc w:val="both"/>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 xml:space="preserve">评分因素     </w:t>
            </w:r>
            <w:r>
              <w:rPr>
                <w:rFonts w:hint="eastAsia" w:ascii="仿宋_GB2312" w:hAnsi="仿宋_GB2312" w:eastAsia="仿宋_GB2312" w:cs="仿宋_GB2312"/>
                <w:kern w:val="0"/>
                <w:szCs w:val="21"/>
              </w:rPr>
              <w:sym w:font="Wingdings" w:char="00FE"/>
            </w:r>
          </w:p>
          <w:p>
            <w:pPr>
              <w:widowControl/>
              <w:spacing w:line="320" w:lineRule="exact"/>
              <w:ind w:left="0" w:leftChars="0" w:right="0" w:rightChars="0" w:firstLine="0" w:firstLineChars="0"/>
              <w:jc w:val="both"/>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 xml:space="preserve">建议作为重要指标，适当增加分值权重         </w:t>
            </w:r>
            <w:r>
              <w:rPr>
                <w:rFonts w:hint="eastAsia" w:ascii="仿宋_GB2312" w:hAnsi="仿宋_GB2312" w:eastAsia="仿宋_GB2312" w:cs="仿宋_GB2312"/>
                <w:kern w:val="0"/>
                <w:szCs w:val="21"/>
              </w:rPr>
              <w:sym w:font="Wingdings" w:char="00A8"/>
            </w:r>
          </w:p>
        </w:tc>
        <w:tc>
          <w:tcPr>
            <w:tcW w:w="1269" w:type="pct"/>
            <w:vAlign w:val="center"/>
          </w:tcPr>
          <w:p>
            <w:pPr>
              <w:widowControl/>
              <w:spacing w:line="320" w:lineRule="exact"/>
              <w:ind w:left="0" w:leftChars="0" w:right="0" w:rightChars="0" w:firstLine="0" w:firstLineChars="0"/>
              <w:jc w:val="both"/>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空间定位：≥6自由度跟踪；空间映射：实时空间网格重建；</w:t>
            </w:r>
          </w:p>
        </w:tc>
        <w:tc>
          <w:tcPr>
            <w:tcW w:w="549" w:type="pct"/>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空间定位准确，空间网格实时重建</w:t>
            </w:r>
          </w:p>
        </w:tc>
        <w:tc>
          <w:tcPr>
            <w:tcW w:w="469" w:type="pct"/>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供应商书面承诺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 w:type="pct"/>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7</w:t>
            </w:r>
          </w:p>
        </w:tc>
        <w:tc>
          <w:tcPr>
            <w:tcW w:w="235" w:type="pct"/>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性能要求</w:t>
            </w:r>
          </w:p>
        </w:tc>
        <w:tc>
          <w:tcPr>
            <w:tcW w:w="417" w:type="pct"/>
            <w:vMerge w:val="continue"/>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p>
        </w:tc>
        <w:tc>
          <w:tcPr>
            <w:tcW w:w="368" w:type="pct"/>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CPU、HPU、内存性能</w:t>
            </w:r>
          </w:p>
        </w:tc>
        <w:tc>
          <w:tcPr>
            <w:tcW w:w="428" w:type="pct"/>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w:t>
            </w:r>
          </w:p>
        </w:tc>
        <w:tc>
          <w:tcPr>
            <w:tcW w:w="1028" w:type="pct"/>
            <w:vAlign w:val="center"/>
          </w:tcPr>
          <w:p>
            <w:pPr>
              <w:widowControl/>
              <w:spacing w:line="320" w:lineRule="exact"/>
              <w:ind w:left="0" w:leftChars="0" w:right="0" w:rightChars="0" w:firstLine="0" w:firstLineChars="0"/>
              <w:jc w:val="both"/>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 xml:space="preserve">强制要求     </w:t>
            </w:r>
            <w:r>
              <w:rPr>
                <w:rFonts w:hint="eastAsia" w:ascii="仿宋_GB2312" w:hAnsi="仿宋_GB2312" w:eastAsia="仿宋_GB2312" w:cs="仿宋_GB2312"/>
                <w:kern w:val="0"/>
                <w:szCs w:val="21"/>
              </w:rPr>
              <w:sym w:font="Wingdings 2" w:char="00A3"/>
            </w:r>
          </w:p>
          <w:p>
            <w:pPr>
              <w:widowControl/>
              <w:spacing w:line="320" w:lineRule="exact"/>
              <w:ind w:left="0" w:leftChars="0" w:right="0" w:rightChars="0" w:firstLine="0" w:firstLineChars="0"/>
              <w:jc w:val="both"/>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 xml:space="preserve">评分因素     </w:t>
            </w:r>
            <w:r>
              <w:rPr>
                <w:rFonts w:hint="eastAsia" w:ascii="仿宋_GB2312" w:hAnsi="仿宋_GB2312" w:eastAsia="仿宋_GB2312" w:cs="仿宋_GB2312"/>
                <w:kern w:val="0"/>
                <w:szCs w:val="21"/>
              </w:rPr>
              <w:sym w:font="Wingdings" w:char="00FE"/>
            </w:r>
          </w:p>
          <w:p>
            <w:pPr>
              <w:widowControl/>
              <w:spacing w:line="320" w:lineRule="exact"/>
              <w:ind w:left="0" w:leftChars="0" w:right="0" w:rightChars="0" w:firstLine="0" w:firstLineChars="0"/>
              <w:jc w:val="both"/>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 xml:space="preserve">建议作为重要指标，适当增加分值权重         </w:t>
            </w:r>
            <w:r>
              <w:rPr>
                <w:rFonts w:hint="eastAsia" w:ascii="仿宋_GB2312" w:hAnsi="仿宋_GB2312" w:eastAsia="仿宋_GB2312" w:cs="仿宋_GB2312"/>
                <w:kern w:val="0"/>
                <w:szCs w:val="21"/>
              </w:rPr>
              <w:sym w:font="Wingdings" w:char="00FE"/>
            </w:r>
          </w:p>
        </w:tc>
        <w:tc>
          <w:tcPr>
            <w:tcW w:w="1269" w:type="pct"/>
            <w:vAlign w:val="center"/>
          </w:tcPr>
          <w:p>
            <w:pPr>
              <w:widowControl/>
              <w:spacing w:line="320" w:lineRule="exact"/>
              <w:ind w:left="0" w:leftChars="0" w:right="0" w:rightChars="0" w:firstLine="0" w:firstLineChars="0"/>
              <w:jc w:val="both"/>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CPU≥2.0+1.55GHz；HPU全息处理单元≥第二代；内存≥4G，存储空间≥32G</w:t>
            </w:r>
          </w:p>
        </w:tc>
        <w:tc>
          <w:tcPr>
            <w:tcW w:w="549" w:type="pct"/>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要求的性能越高越好</w:t>
            </w:r>
          </w:p>
        </w:tc>
        <w:tc>
          <w:tcPr>
            <w:tcW w:w="469" w:type="pct"/>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供应商书面承诺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 w:type="pct"/>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8</w:t>
            </w:r>
          </w:p>
        </w:tc>
        <w:tc>
          <w:tcPr>
            <w:tcW w:w="235" w:type="pct"/>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性能要求</w:t>
            </w:r>
          </w:p>
        </w:tc>
        <w:tc>
          <w:tcPr>
            <w:tcW w:w="417" w:type="pct"/>
            <w:vMerge w:val="restart"/>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AR-MR拍摄设备</w:t>
            </w:r>
          </w:p>
        </w:tc>
        <w:tc>
          <w:tcPr>
            <w:tcW w:w="368" w:type="pct"/>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内存性能</w:t>
            </w:r>
          </w:p>
        </w:tc>
        <w:tc>
          <w:tcPr>
            <w:tcW w:w="428" w:type="pct"/>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w:t>
            </w:r>
          </w:p>
        </w:tc>
        <w:tc>
          <w:tcPr>
            <w:tcW w:w="1028" w:type="pct"/>
            <w:vAlign w:val="center"/>
          </w:tcPr>
          <w:p>
            <w:pPr>
              <w:widowControl/>
              <w:spacing w:line="320" w:lineRule="exact"/>
              <w:ind w:left="0" w:leftChars="0" w:right="0" w:rightChars="0" w:firstLine="0" w:firstLineChars="0"/>
              <w:jc w:val="both"/>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 xml:space="preserve">强制要求     </w:t>
            </w:r>
            <w:r>
              <w:rPr>
                <w:rFonts w:hint="eastAsia" w:ascii="仿宋_GB2312" w:hAnsi="仿宋_GB2312" w:eastAsia="仿宋_GB2312" w:cs="仿宋_GB2312"/>
                <w:kern w:val="0"/>
                <w:szCs w:val="21"/>
              </w:rPr>
              <w:sym w:font="Wingdings 2" w:char="00A3"/>
            </w:r>
          </w:p>
          <w:p>
            <w:pPr>
              <w:widowControl/>
              <w:spacing w:line="320" w:lineRule="exact"/>
              <w:ind w:left="0" w:leftChars="0" w:right="0" w:rightChars="0" w:firstLine="0" w:firstLineChars="0"/>
              <w:jc w:val="both"/>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 xml:space="preserve">评分因素     </w:t>
            </w:r>
            <w:r>
              <w:rPr>
                <w:rFonts w:hint="eastAsia" w:ascii="仿宋_GB2312" w:hAnsi="仿宋_GB2312" w:eastAsia="仿宋_GB2312" w:cs="仿宋_GB2312"/>
                <w:kern w:val="0"/>
                <w:szCs w:val="21"/>
              </w:rPr>
              <w:sym w:font="Wingdings" w:char="00FE"/>
            </w:r>
          </w:p>
          <w:p>
            <w:pPr>
              <w:widowControl/>
              <w:spacing w:line="320" w:lineRule="exact"/>
              <w:ind w:left="0" w:leftChars="0" w:right="0" w:rightChars="0" w:firstLine="0" w:firstLineChars="0"/>
              <w:jc w:val="both"/>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 xml:space="preserve">建议作为重要指标，适当增加分值权重         </w:t>
            </w:r>
            <w:r>
              <w:rPr>
                <w:rFonts w:hint="eastAsia" w:ascii="仿宋_GB2312" w:hAnsi="仿宋_GB2312" w:eastAsia="仿宋_GB2312" w:cs="仿宋_GB2312"/>
                <w:kern w:val="0"/>
                <w:szCs w:val="21"/>
              </w:rPr>
              <w:sym w:font="Wingdings" w:char="00A8"/>
            </w:r>
          </w:p>
        </w:tc>
        <w:tc>
          <w:tcPr>
            <w:tcW w:w="1269" w:type="pct"/>
            <w:vAlign w:val="center"/>
          </w:tcPr>
          <w:p>
            <w:pPr>
              <w:widowControl/>
              <w:spacing w:line="320" w:lineRule="exact"/>
              <w:ind w:left="0" w:leftChars="0" w:right="0" w:rightChars="0" w:firstLine="0" w:firstLineChars="0"/>
              <w:jc w:val="both"/>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内存≥4GB，存储容量≥64GB；芯片：8核中央处理器，具有4个性能核心和4个能效核心；8核图形处理器,16核神经网络引擎</w:t>
            </w:r>
          </w:p>
        </w:tc>
        <w:tc>
          <w:tcPr>
            <w:tcW w:w="549" w:type="pct"/>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要求的性能越高越好</w:t>
            </w:r>
          </w:p>
        </w:tc>
        <w:tc>
          <w:tcPr>
            <w:tcW w:w="469" w:type="pct"/>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供应商书面承诺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 w:type="pct"/>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9</w:t>
            </w:r>
          </w:p>
        </w:tc>
        <w:tc>
          <w:tcPr>
            <w:tcW w:w="235" w:type="pct"/>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产品规格</w:t>
            </w:r>
          </w:p>
        </w:tc>
        <w:tc>
          <w:tcPr>
            <w:tcW w:w="417" w:type="pct"/>
            <w:vMerge w:val="continue"/>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p>
        </w:tc>
        <w:tc>
          <w:tcPr>
            <w:tcW w:w="368" w:type="pct"/>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传感器</w:t>
            </w:r>
          </w:p>
        </w:tc>
        <w:tc>
          <w:tcPr>
            <w:tcW w:w="428" w:type="pct"/>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w:t>
            </w:r>
          </w:p>
        </w:tc>
        <w:tc>
          <w:tcPr>
            <w:tcW w:w="1028" w:type="pct"/>
            <w:vAlign w:val="center"/>
          </w:tcPr>
          <w:p>
            <w:pPr>
              <w:widowControl/>
              <w:spacing w:line="320" w:lineRule="exact"/>
              <w:ind w:left="0" w:leftChars="0" w:right="0" w:rightChars="0" w:firstLine="0" w:firstLineChars="0"/>
              <w:jc w:val="both"/>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 xml:space="preserve">强制要求     </w:t>
            </w:r>
            <w:r>
              <w:rPr>
                <w:rFonts w:hint="eastAsia" w:ascii="仿宋_GB2312" w:hAnsi="仿宋_GB2312" w:eastAsia="仿宋_GB2312" w:cs="仿宋_GB2312"/>
                <w:kern w:val="0"/>
                <w:szCs w:val="21"/>
              </w:rPr>
              <w:sym w:font="Wingdings 2" w:char="00A3"/>
            </w:r>
          </w:p>
          <w:p>
            <w:pPr>
              <w:widowControl/>
              <w:spacing w:line="320" w:lineRule="exact"/>
              <w:ind w:left="0" w:leftChars="0" w:right="0" w:rightChars="0" w:firstLine="0" w:firstLineChars="0"/>
              <w:jc w:val="both"/>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 xml:space="preserve">评分因素     </w:t>
            </w:r>
            <w:r>
              <w:rPr>
                <w:rFonts w:hint="eastAsia" w:ascii="仿宋_GB2312" w:hAnsi="仿宋_GB2312" w:eastAsia="仿宋_GB2312" w:cs="仿宋_GB2312"/>
                <w:kern w:val="0"/>
                <w:szCs w:val="21"/>
              </w:rPr>
              <w:sym w:font="Wingdings" w:char="00FE"/>
            </w:r>
          </w:p>
          <w:p>
            <w:pPr>
              <w:widowControl/>
              <w:spacing w:line="320" w:lineRule="exact"/>
              <w:ind w:left="0" w:leftChars="0" w:right="0" w:rightChars="0" w:firstLine="0" w:firstLineChars="0"/>
              <w:jc w:val="both"/>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 xml:space="preserve">建议作为重要指标，适当增加分值权重         </w:t>
            </w:r>
            <w:r>
              <w:rPr>
                <w:rFonts w:hint="eastAsia" w:ascii="仿宋_GB2312" w:hAnsi="仿宋_GB2312" w:eastAsia="仿宋_GB2312" w:cs="仿宋_GB2312"/>
                <w:kern w:val="0"/>
                <w:szCs w:val="21"/>
              </w:rPr>
              <w:sym w:font="Wingdings" w:char="00A8"/>
            </w:r>
          </w:p>
        </w:tc>
        <w:tc>
          <w:tcPr>
            <w:tcW w:w="1269" w:type="pct"/>
            <w:vAlign w:val="center"/>
          </w:tcPr>
          <w:p>
            <w:pPr>
              <w:widowControl/>
              <w:spacing w:line="320" w:lineRule="exact"/>
              <w:ind w:left="0" w:leftChars="0" w:right="0" w:rightChars="0" w:firstLine="0" w:firstLineChars="0"/>
              <w:jc w:val="both"/>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激光雷达扫描仪,三轴陀螺仪,加速感应器,气压计,环境光传感器；</w:t>
            </w:r>
          </w:p>
        </w:tc>
        <w:tc>
          <w:tcPr>
            <w:tcW w:w="549" w:type="pct"/>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传感器配置符合要求</w:t>
            </w:r>
          </w:p>
        </w:tc>
        <w:tc>
          <w:tcPr>
            <w:tcW w:w="469" w:type="pct"/>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供应商书面承诺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 w:type="pct"/>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10</w:t>
            </w:r>
          </w:p>
        </w:tc>
        <w:tc>
          <w:tcPr>
            <w:tcW w:w="235" w:type="pct"/>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产品规格</w:t>
            </w:r>
          </w:p>
        </w:tc>
        <w:tc>
          <w:tcPr>
            <w:tcW w:w="417" w:type="pct"/>
            <w:vMerge w:val="continue"/>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p>
        </w:tc>
        <w:tc>
          <w:tcPr>
            <w:tcW w:w="368" w:type="pct"/>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摄像头和麦克风</w:t>
            </w:r>
          </w:p>
        </w:tc>
        <w:tc>
          <w:tcPr>
            <w:tcW w:w="428" w:type="pct"/>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w:t>
            </w:r>
          </w:p>
        </w:tc>
        <w:tc>
          <w:tcPr>
            <w:tcW w:w="1028" w:type="pct"/>
            <w:vAlign w:val="center"/>
          </w:tcPr>
          <w:p>
            <w:pPr>
              <w:widowControl/>
              <w:spacing w:line="320" w:lineRule="exact"/>
              <w:ind w:left="0" w:leftChars="0" w:right="0" w:rightChars="0" w:firstLine="0" w:firstLineChars="0"/>
              <w:jc w:val="both"/>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 xml:space="preserve">强制要求     </w:t>
            </w:r>
            <w:r>
              <w:rPr>
                <w:rFonts w:hint="eastAsia" w:ascii="仿宋_GB2312" w:hAnsi="仿宋_GB2312" w:eastAsia="仿宋_GB2312" w:cs="仿宋_GB2312"/>
                <w:kern w:val="0"/>
                <w:szCs w:val="21"/>
              </w:rPr>
              <w:sym w:font="Wingdings 2" w:char="00A3"/>
            </w:r>
          </w:p>
          <w:p>
            <w:pPr>
              <w:widowControl/>
              <w:spacing w:line="320" w:lineRule="exact"/>
              <w:ind w:left="0" w:leftChars="0" w:right="0" w:rightChars="0" w:firstLine="0" w:firstLineChars="0"/>
              <w:jc w:val="both"/>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 xml:space="preserve">评分因素     </w:t>
            </w:r>
            <w:r>
              <w:rPr>
                <w:rFonts w:hint="eastAsia" w:ascii="仿宋_GB2312" w:hAnsi="仿宋_GB2312" w:eastAsia="仿宋_GB2312" w:cs="仿宋_GB2312"/>
                <w:kern w:val="0"/>
                <w:szCs w:val="21"/>
              </w:rPr>
              <w:sym w:font="Wingdings" w:char="00FE"/>
            </w:r>
          </w:p>
          <w:p>
            <w:pPr>
              <w:widowControl/>
              <w:spacing w:line="320" w:lineRule="exact"/>
              <w:ind w:left="0" w:leftChars="0" w:right="0" w:rightChars="0" w:firstLine="0" w:firstLineChars="0"/>
              <w:jc w:val="both"/>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 xml:space="preserve">建议作为重要指标，适当增加分值权重         </w:t>
            </w:r>
            <w:r>
              <w:rPr>
                <w:rFonts w:hint="eastAsia" w:ascii="仿宋_GB2312" w:hAnsi="仿宋_GB2312" w:eastAsia="仿宋_GB2312" w:cs="仿宋_GB2312"/>
                <w:kern w:val="0"/>
                <w:szCs w:val="21"/>
              </w:rPr>
              <w:sym w:font="Wingdings" w:char="00A8"/>
            </w:r>
          </w:p>
        </w:tc>
        <w:tc>
          <w:tcPr>
            <w:tcW w:w="1269" w:type="pct"/>
            <w:vAlign w:val="center"/>
          </w:tcPr>
          <w:p>
            <w:pPr>
              <w:widowControl/>
              <w:spacing w:line="320" w:lineRule="exact"/>
              <w:ind w:left="0" w:leftChars="0" w:right="0" w:rightChars="0" w:firstLine="0" w:firstLineChars="0"/>
              <w:jc w:val="both"/>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后置摄像头≥1000W，前置摄像头≥1000W；麦克风≥3个麦克风，扬声器数量≥2个；</w:t>
            </w:r>
          </w:p>
        </w:tc>
        <w:tc>
          <w:tcPr>
            <w:tcW w:w="549" w:type="pct"/>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至少满足要求的最低条件</w:t>
            </w:r>
          </w:p>
        </w:tc>
        <w:tc>
          <w:tcPr>
            <w:tcW w:w="469" w:type="pct"/>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供应商书面承诺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 w:type="pct"/>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11</w:t>
            </w:r>
          </w:p>
        </w:tc>
        <w:tc>
          <w:tcPr>
            <w:tcW w:w="235" w:type="pct"/>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产品规格</w:t>
            </w:r>
          </w:p>
        </w:tc>
        <w:tc>
          <w:tcPr>
            <w:tcW w:w="417" w:type="pct"/>
            <w:vMerge w:val="continue"/>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p>
        </w:tc>
        <w:tc>
          <w:tcPr>
            <w:tcW w:w="368" w:type="pct"/>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屏幕类型</w:t>
            </w:r>
          </w:p>
        </w:tc>
        <w:tc>
          <w:tcPr>
            <w:tcW w:w="428" w:type="pct"/>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w:t>
            </w:r>
          </w:p>
        </w:tc>
        <w:tc>
          <w:tcPr>
            <w:tcW w:w="1028" w:type="pct"/>
            <w:vAlign w:val="center"/>
          </w:tcPr>
          <w:p>
            <w:pPr>
              <w:widowControl/>
              <w:spacing w:line="320" w:lineRule="exact"/>
              <w:ind w:left="0" w:leftChars="0" w:right="0" w:rightChars="0" w:firstLine="0" w:firstLineChars="0"/>
              <w:jc w:val="both"/>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 xml:space="preserve">强制要求     </w:t>
            </w:r>
            <w:r>
              <w:rPr>
                <w:rFonts w:hint="eastAsia" w:ascii="仿宋_GB2312" w:hAnsi="仿宋_GB2312" w:eastAsia="仿宋_GB2312" w:cs="仿宋_GB2312"/>
                <w:kern w:val="0"/>
                <w:szCs w:val="21"/>
              </w:rPr>
              <w:sym w:font="Wingdings 2" w:char="00A3"/>
            </w:r>
          </w:p>
          <w:p>
            <w:pPr>
              <w:widowControl/>
              <w:spacing w:line="320" w:lineRule="exact"/>
              <w:ind w:left="0" w:leftChars="0" w:right="0" w:rightChars="0" w:firstLine="0" w:firstLineChars="0"/>
              <w:jc w:val="both"/>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 xml:space="preserve">评分因素     </w:t>
            </w:r>
            <w:r>
              <w:rPr>
                <w:rFonts w:hint="eastAsia" w:ascii="仿宋_GB2312" w:hAnsi="仿宋_GB2312" w:eastAsia="仿宋_GB2312" w:cs="仿宋_GB2312"/>
                <w:kern w:val="0"/>
                <w:szCs w:val="21"/>
              </w:rPr>
              <w:sym w:font="Wingdings" w:char="00FE"/>
            </w:r>
          </w:p>
          <w:p>
            <w:pPr>
              <w:widowControl/>
              <w:spacing w:line="320" w:lineRule="exact"/>
              <w:ind w:left="0" w:leftChars="0" w:right="0" w:rightChars="0" w:firstLine="0" w:firstLineChars="0"/>
              <w:jc w:val="both"/>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 xml:space="preserve">建议作为重要指标，适当增加分值权重         </w:t>
            </w:r>
            <w:r>
              <w:rPr>
                <w:rFonts w:hint="eastAsia" w:ascii="仿宋_GB2312" w:hAnsi="仿宋_GB2312" w:eastAsia="仿宋_GB2312" w:cs="仿宋_GB2312"/>
                <w:kern w:val="0"/>
                <w:szCs w:val="21"/>
              </w:rPr>
              <w:sym w:font="Wingdings" w:char="00A8"/>
            </w:r>
          </w:p>
        </w:tc>
        <w:tc>
          <w:tcPr>
            <w:tcW w:w="1269" w:type="pct"/>
            <w:vAlign w:val="center"/>
          </w:tcPr>
          <w:p>
            <w:pPr>
              <w:widowControl/>
              <w:spacing w:line="320" w:lineRule="exact"/>
              <w:ind w:left="0" w:leftChars="0" w:right="0" w:rightChars="0" w:firstLine="0" w:firstLineChars="0"/>
              <w:jc w:val="both"/>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视网膜显示屏；</w:t>
            </w:r>
          </w:p>
          <w:p>
            <w:pPr>
              <w:widowControl/>
              <w:spacing w:line="320" w:lineRule="exact"/>
              <w:ind w:left="0" w:leftChars="0" w:right="0" w:rightChars="0" w:firstLine="0" w:firstLineChars="0"/>
              <w:jc w:val="both"/>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分辨率≥2388×1668px,264ppi。</w:t>
            </w:r>
          </w:p>
        </w:tc>
        <w:tc>
          <w:tcPr>
            <w:tcW w:w="549" w:type="pct"/>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至少满足要求的最低条件</w:t>
            </w:r>
          </w:p>
        </w:tc>
        <w:tc>
          <w:tcPr>
            <w:tcW w:w="469" w:type="pct"/>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供应商书面承诺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 w:type="pct"/>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12</w:t>
            </w:r>
          </w:p>
        </w:tc>
        <w:tc>
          <w:tcPr>
            <w:tcW w:w="235" w:type="pct"/>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性能要求</w:t>
            </w:r>
          </w:p>
        </w:tc>
        <w:tc>
          <w:tcPr>
            <w:tcW w:w="417" w:type="pct"/>
            <w:vMerge w:val="restart"/>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教师示教AR增强现实电脑</w:t>
            </w:r>
          </w:p>
        </w:tc>
        <w:tc>
          <w:tcPr>
            <w:tcW w:w="368" w:type="pct"/>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内存和显卡性能</w:t>
            </w:r>
          </w:p>
        </w:tc>
        <w:tc>
          <w:tcPr>
            <w:tcW w:w="428" w:type="pct"/>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w:t>
            </w:r>
          </w:p>
        </w:tc>
        <w:tc>
          <w:tcPr>
            <w:tcW w:w="1028" w:type="pct"/>
            <w:vAlign w:val="center"/>
          </w:tcPr>
          <w:p>
            <w:pPr>
              <w:widowControl/>
              <w:spacing w:line="320" w:lineRule="exact"/>
              <w:ind w:left="0" w:leftChars="0" w:right="0" w:rightChars="0" w:firstLine="0" w:firstLineChars="0"/>
              <w:jc w:val="both"/>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 xml:space="preserve">强制要求     </w:t>
            </w:r>
            <w:r>
              <w:rPr>
                <w:rFonts w:hint="eastAsia" w:ascii="仿宋_GB2312" w:hAnsi="仿宋_GB2312" w:eastAsia="仿宋_GB2312" w:cs="仿宋_GB2312"/>
                <w:kern w:val="0"/>
                <w:szCs w:val="21"/>
              </w:rPr>
              <w:sym w:font="Wingdings 2" w:char="00A3"/>
            </w:r>
          </w:p>
          <w:p>
            <w:pPr>
              <w:widowControl/>
              <w:spacing w:line="320" w:lineRule="exact"/>
              <w:ind w:left="0" w:leftChars="0" w:right="0" w:rightChars="0" w:firstLine="0" w:firstLineChars="0"/>
              <w:jc w:val="both"/>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 xml:space="preserve">评分因素     </w:t>
            </w:r>
            <w:r>
              <w:rPr>
                <w:rFonts w:hint="eastAsia" w:ascii="仿宋_GB2312" w:hAnsi="仿宋_GB2312" w:eastAsia="仿宋_GB2312" w:cs="仿宋_GB2312"/>
                <w:kern w:val="0"/>
                <w:szCs w:val="21"/>
              </w:rPr>
              <w:sym w:font="Wingdings" w:char="00FE"/>
            </w:r>
          </w:p>
          <w:p>
            <w:pPr>
              <w:widowControl/>
              <w:spacing w:line="320" w:lineRule="exact"/>
              <w:ind w:left="0" w:leftChars="0" w:right="0" w:rightChars="0" w:firstLine="0" w:firstLineChars="0"/>
              <w:jc w:val="both"/>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 xml:space="preserve">建议作为重要指标，适当增加分值权重         </w:t>
            </w:r>
            <w:r>
              <w:rPr>
                <w:rFonts w:hint="eastAsia" w:ascii="仿宋_GB2312" w:hAnsi="仿宋_GB2312" w:eastAsia="仿宋_GB2312" w:cs="仿宋_GB2312"/>
                <w:kern w:val="0"/>
                <w:szCs w:val="21"/>
              </w:rPr>
              <w:sym w:font="Wingdings" w:char="00FE"/>
            </w:r>
          </w:p>
        </w:tc>
        <w:tc>
          <w:tcPr>
            <w:tcW w:w="1269" w:type="pct"/>
            <w:vAlign w:val="center"/>
          </w:tcPr>
          <w:p>
            <w:pPr>
              <w:widowControl/>
              <w:spacing w:line="320" w:lineRule="exact"/>
              <w:ind w:left="0" w:leftChars="0" w:right="0" w:rightChars="0" w:firstLine="0" w:firstLineChars="0"/>
              <w:jc w:val="both"/>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CPU≥3.1GHz；</w:t>
            </w:r>
          </w:p>
          <w:p>
            <w:pPr>
              <w:widowControl/>
              <w:spacing w:line="320" w:lineRule="exact"/>
              <w:ind w:left="0" w:leftChars="0" w:right="0" w:rightChars="0" w:firstLine="0" w:firstLineChars="0"/>
              <w:jc w:val="both"/>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独立显存≥8G；内存≥8GB DDR4；硬盘容量≥1TB；≥256G SSD；</w:t>
            </w:r>
          </w:p>
        </w:tc>
        <w:tc>
          <w:tcPr>
            <w:tcW w:w="549" w:type="pct"/>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性能越高越好</w:t>
            </w:r>
          </w:p>
        </w:tc>
        <w:tc>
          <w:tcPr>
            <w:tcW w:w="469" w:type="pct"/>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供应商书面承诺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 w:type="pct"/>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13</w:t>
            </w:r>
          </w:p>
        </w:tc>
        <w:tc>
          <w:tcPr>
            <w:tcW w:w="235" w:type="pct"/>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产品规格</w:t>
            </w:r>
          </w:p>
        </w:tc>
        <w:tc>
          <w:tcPr>
            <w:tcW w:w="417" w:type="pct"/>
            <w:vMerge w:val="continue"/>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p>
        </w:tc>
        <w:tc>
          <w:tcPr>
            <w:tcW w:w="368" w:type="pct"/>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显示屏</w:t>
            </w:r>
          </w:p>
        </w:tc>
        <w:tc>
          <w:tcPr>
            <w:tcW w:w="428" w:type="pct"/>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w:t>
            </w:r>
          </w:p>
        </w:tc>
        <w:tc>
          <w:tcPr>
            <w:tcW w:w="1028" w:type="pct"/>
            <w:vAlign w:val="center"/>
          </w:tcPr>
          <w:p>
            <w:pPr>
              <w:widowControl/>
              <w:spacing w:line="320" w:lineRule="exact"/>
              <w:ind w:left="0" w:leftChars="0" w:right="0" w:rightChars="0" w:firstLine="0" w:firstLineChars="0"/>
              <w:jc w:val="both"/>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 xml:space="preserve">强制要求     </w:t>
            </w:r>
            <w:r>
              <w:rPr>
                <w:rFonts w:hint="eastAsia" w:ascii="仿宋_GB2312" w:hAnsi="仿宋_GB2312" w:eastAsia="仿宋_GB2312" w:cs="仿宋_GB2312"/>
                <w:kern w:val="0"/>
                <w:szCs w:val="21"/>
              </w:rPr>
              <w:sym w:font="Wingdings 2" w:char="00A3"/>
            </w:r>
          </w:p>
          <w:p>
            <w:pPr>
              <w:widowControl/>
              <w:spacing w:line="320" w:lineRule="exact"/>
              <w:ind w:left="0" w:leftChars="0" w:right="0" w:rightChars="0" w:firstLine="0" w:firstLineChars="0"/>
              <w:jc w:val="both"/>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 xml:space="preserve">评分因素     </w:t>
            </w:r>
            <w:r>
              <w:rPr>
                <w:rFonts w:hint="eastAsia" w:ascii="仿宋_GB2312" w:hAnsi="仿宋_GB2312" w:eastAsia="仿宋_GB2312" w:cs="仿宋_GB2312"/>
                <w:kern w:val="0"/>
                <w:szCs w:val="21"/>
              </w:rPr>
              <w:sym w:font="Wingdings" w:char="00FE"/>
            </w:r>
          </w:p>
          <w:p>
            <w:pPr>
              <w:widowControl/>
              <w:spacing w:line="320" w:lineRule="exact"/>
              <w:ind w:left="0" w:leftChars="0" w:right="0" w:rightChars="0" w:firstLine="0" w:firstLineChars="0"/>
              <w:jc w:val="both"/>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 xml:space="preserve">建议作为重要指标，适当增加分值权重         </w:t>
            </w:r>
            <w:r>
              <w:rPr>
                <w:rFonts w:hint="eastAsia" w:ascii="仿宋_GB2312" w:hAnsi="仿宋_GB2312" w:eastAsia="仿宋_GB2312" w:cs="仿宋_GB2312"/>
                <w:kern w:val="0"/>
                <w:szCs w:val="21"/>
              </w:rPr>
              <w:sym w:font="Wingdings" w:char="00FE"/>
            </w:r>
          </w:p>
        </w:tc>
        <w:tc>
          <w:tcPr>
            <w:tcW w:w="1269" w:type="pct"/>
            <w:vAlign w:val="center"/>
          </w:tcPr>
          <w:p>
            <w:pPr>
              <w:widowControl/>
              <w:spacing w:line="320" w:lineRule="exact"/>
              <w:ind w:left="0" w:leftChars="0" w:right="0" w:rightChars="0" w:firstLine="0" w:firstLineChars="0"/>
              <w:jc w:val="both"/>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显示屏≥24英寸，分辨率≥1920x1080，刷新率≥60Hz；电源功率≥180W</w:t>
            </w:r>
          </w:p>
        </w:tc>
        <w:tc>
          <w:tcPr>
            <w:tcW w:w="549" w:type="pct"/>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至少满足要求的最低条件</w:t>
            </w:r>
          </w:p>
        </w:tc>
        <w:tc>
          <w:tcPr>
            <w:tcW w:w="469" w:type="pct"/>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供应商书面承诺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 w:type="pct"/>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14</w:t>
            </w:r>
          </w:p>
        </w:tc>
        <w:tc>
          <w:tcPr>
            <w:tcW w:w="235" w:type="pct"/>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产品规格</w:t>
            </w:r>
          </w:p>
        </w:tc>
        <w:tc>
          <w:tcPr>
            <w:tcW w:w="417" w:type="pct"/>
            <w:vMerge w:val="restart"/>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无线路由器</w:t>
            </w:r>
          </w:p>
        </w:tc>
        <w:tc>
          <w:tcPr>
            <w:tcW w:w="368" w:type="pct"/>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技术指标</w:t>
            </w:r>
          </w:p>
        </w:tc>
        <w:tc>
          <w:tcPr>
            <w:tcW w:w="428" w:type="pct"/>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w:t>
            </w:r>
          </w:p>
        </w:tc>
        <w:tc>
          <w:tcPr>
            <w:tcW w:w="1028" w:type="pct"/>
            <w:vAlign w:val="center"/>
          </w:tcPr>
          <w:p>
            <w:pPr>
              <w:widowControl/>
              <w:spacing w:line="320" w:lineRule="exact"/>
              <w:ind w:left="0" w:leftChars="0" w:right="0" w:rightChars="0" w:firstLine="0" w:firstLineChars="0"/>
              <w:jc w:val="both"/>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 xml:space="preserve">强制要求     </w:t>
            </w:r>
            <w:r>
              <w:rPr>
                <w:rFonts w:hint="eastAsia" w:ascii="仿宋_GB2312" w:hAnsi="仿宋_GB2312" w:eastAsia="仿宋_GB2312" w:cs="仿宋_GB2312"/>
                <w:kern w:val="0"/>
                <w:szCs w:val="21"/>
              </w:rPr>
              <w:sym w:font="Wingdings 2" w:char="00A3"/>
            </w:r>
          </w:p>
          <w:p>
            <w:pPr>
              <w:widowControl/>
              <w:spacing w:line="320" w:lineRule="exact"/>
              <w:ind w:left="0" w:leftChars="0" w:right="0" w:rightChars="0" w:firstLine="0" w:firstLineChars="0"/>
              <w:jc w:val="both"/>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 xml:space="preserve">评分因素     </w:t>
            </w:r>
            <w:r>
              <w:rPr>
                <w:rFonts w:hint="eastAsia" w:ascii="仿宋_GB2312" w:hAnsi="仿宋_GB2312" w:eastAsia="仿宋_GB2312" w:cs="仿宋_GB2312"/>
                <w:kern w:val="0"/>
                <w:szCs w:val="21"/>
              </w:rPr>
              <w:sym w:font="Wingdings" w:char="00FE"/>
            </w:r>
          </w:p>
          <w:p>
            <w:pPr>
              <w:widowControl/>
              <w:spacing w:line="320" w:lineRule="exact"/>
              <w:ind w:left="0" w:leftChars="0" w:right="0" w:rightChars="0" w:firstLine="0" w:firstLineChars="0"/>
              <w:jc w:val="both"/>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 xml:space="preserve">建议作为重要指标，适当增加分值权重         </w:t>
            </w:r>
            <w:r>
              <w:rPr>
                <w:rFonts w:hint="eastAsia" w:ascii="仿宋_GB2312" w:hAnsi="仿宋_GB2312" w:eastAsia="仿宋_GB2312" w:cs="仿宋_GB2312"/>
                <w:kern w:val="0"/>
                <w:szCs w:val="21"/>
              </w:rPr>
              <w:sym w:font="Wingdings" w:char="00A8"/>
            </w:r>
          </w:p>
        </w:tc>
        <w:tc>
          <w:tcPr>
            <w:tcW w:w="1269" w:type="pct"/>
            <w:vAlign w:val="center"/>
          </w:tcPr>
          <w:p>
            <w:pPr>
              <w:widowControl/>
              <w:spacing w:line="320" w:lineRule="exact"/>
              <w:ind w:left="0" w:leftChars="0" w:right="0" w:rightChars="0" w:firstLine="0" w:firstLineChars="0"/>
              <w:jc w:val="both"/>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2.4G MIMO技术/5G MIMO技术：4x4 MIMO；</w:t>
            </w:r>
          </w:p>
        </w:tc>
        <w:tc>
          <w:tcPr>
            <w:tcW w:w="549" w:type="pct"/>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满足技术指标要求</w:t>
            </w:r>
          </w:p>
        </w:tc>
        <w:tc>
          <w:tcPr>
            <w:tcW w:w="469" w:type="pct"/>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供应商书面承诺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 w:type="pct"/>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15</w:t>
            </w:r>
          </w:p>
        </w:tc>
        <w:tc>
          <w:tcPr>
            <w:tcW w:w="235" w:type="pct"/>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功能要求</w:t>
            </w:r>
          </w:p>
        </w:tc>
        <w:tc>
          <w:tcPr>
            <w:tcW w:w="417" w:type="pct"/>
            <w:vMerge w:val="continue"/>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p>
        </w:tc>
        <w:tc>
          <w:tcPr>
            <w:tcW w:w="368" w:type="pct"/>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LAN和WLAN</w:t>
            </w:r>
          </w:p>
        </w:tc>
        <w:tc>
          <w:tcPr>
            <w:tcW w:w="428" w:type="pct"/>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w:t>
            </w:r>
          </w:p>
        </w:tc>
        <w:tc>
          <w:tcPr>
            <w:tcW w:w="1028" w:type="pct"/>
            <w:vAlign w:val="center"/>
          </w:tcPr>
          <w:p>
            <w:pPr>
              <w:widowControl/>
              <w:spacing w:line="320" w:lineRule="exact"/>
              <w:ind w:left="0" w:leftChars="0" w:right="0" w:rightChars="0" w:firstLine="0" w:firstLineChars="0"/>
              <w:jc w:val="both"/>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 xml:space="preserve">强制要求     </w:t>
            </w:r>
            <w:r>
              <w:rPr>
                <w:rFonts w:hint="eastAsia" w:ascii="仿宋_GB2312" w:hAnsi="仿宋_GB2312" w:eastAsia="仿宋_GB2312" w:cs="仿宋_GB2312"/>
                <w:kern w:val="0"/>
                <w:szCs w:val="21"/>
              </w:rPr>
              <w:sym w:font="Wingdings 2" w:char="00A3"/>
            </w:r>
          </w:p>
          <w:p>
            <w:pPr>
              <w:widowControl/>
              <w:spacing w:line="320" w:lineRule="exact"/>
              <w:ind w:left="0" w:leftChars="0" w:right="0" w:rightChars="0" w:firstLine="0" w:firstLineChars="0"/>
              <w:jc w:val="both"/>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 xml:space="preserve">评分因素     </w:t>
            </w:r>
            <w:r>
              <w:rPr>
                <w:rFonts w:hint="eastAsia" w:ascii="仿宋_GB2312" w:hAnsi="仿宋_GB2312" w:eastAsia="仿宋_GB2312" w:cs="仿宋_GB2312"/>
                <w:kern w:val="0"/>
                <w:szCs w:val="21"/>
              </w:rPr>
              <w:sym w:font="Wingdings" w:char="00FE"/>
            </w:r>
          </w:p>
          <w:p>
            <w:pPr>
              <w:widowControl/>
              <w:spacing w:line="320" w:lineRule="exact"/>
              <w:ind w:left="0" w:leftChars="0" w:right="0" w:rightChars="0" w:firstLine="0" w:firstLineChars="0"/>
              <w:jc w:val="both"/>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 xml:space="preserve">建议作为重要指标，适当增加分值权重         </w:t>
            </w:r>
            <w:r>
              <w:rPr>
                <w:rFonts w:hint="eastAsia" w:ascii="仿宋_GB2312" w:hAnsi="仿宋_GB2312" w:eastAsia="仿宋_GB2312" w:cs="仿宋_GB2312"/>
                <w:kern w:val="0"/>
                <w:szCs w:val="21"/>
              </w:rPr>
              <w:sym w:font="Wingdings" w:char="00A8"/>
            </w:r>
          </w:p>
        </w:tc>
        <w:tc>
          <w:tcPr>
            <w:tcW w:w="1269" w:type="pct"/>
            <w:vAlign w:val="center"/>
          </w:tcPr>
          <w:p>
            <w:pPr>
              <w:widowControl/>
              <w:spacing w:line="320" w:lineRule="exact"/>
              <w:ind w:left="0" w:leftChars="0" w:right="0" w:rightChars="0" w:firstLine="0" w:firstLineChars="0"/>
              <w:jc w:val="both"/>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LAN输出口速率≥1000Mbps，LAN口数量≥3；WAN接入口速率≥1000Mbps；</w:t>
            </w:r>
          </w:p>
        </w:tc>
        <w:tc>
          <w:tcPr>
            <w:tcW w:w="549" w:type="pct"/>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速率越快越好</w:t>
            </w:r>
          </w:p>
        </w:tc>
        <w:tc>
          <w:tcPr>
            <w:tcW w:w="469" w:type="pct"/>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供应商书面承诺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 w:type="pct"/>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16</w:t>
            </w:r>
          </w:p>
        </w:tc>
        <w:tc>
          <w:tcPr>
            <w:tcW w:w="235" w:type="pct"/>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性能要求</w:t>
            </w:r>
          </w:p>
        </w:tc>
        <w:tc>
          <w:tcPr>
            <w:tcW w:w="417" w:type="pct"/>
            <w:vMerge w:val="continue"/>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p>
        </w:tc>
        <w:tc>
          <w:tcPr>
            <w:tcW w:w="368" w:type="pct"/>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p>
        </w:tc>
        <w:tc>
          <w:tcPr>
            <w:tcW w:w="428" w:type="pct"/>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w:t>
            </w:r>
          </w:p>
        </w:tc>
        <w:tc>
          <w:tcPr>
            <w:tcW w:w="1028" w:type="pct"/>
            <w:vAlign w:val="center"/>
          </w:tcPr>
          <w:p>
            <w:pPr>
              <w:widowControl/>
              <w:spacing w:line="320" w:lineRule="exact"/>
              <w:ind w:left="0" w:leftChars="0" w:right="0" w:rightChars="0" w:firstLine="0" w:firstLineChars="0"/>
              <w:jc w:val="both"/>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 xml:space="preserve">强制要求     </w:t>
            </w:r>
            <w:r>
              <w:rPr>
                <w:rFonts w:hint="eastAsia" w:ascii="仿宋_GB2312" w:hAnsi="仿宋_GB2312" w:eastAsia="仿宋_GB2312" w:cs="仿宋_GB2312"/>
                <w:kern w:val="0"/>
                <w:szCs w:val="21"/>
              </w:rPr>
              <w:sym w:font="Wingdings 2" w:char="00A3"/>
            </w:r>
          </w:p>
          <w:p>
            <w:pPr>
              <w:widowControl/>
              <w:spacing w:line="320" w:lineRule="exact"/>
              <w:ind w:left="0" w:leftChars="0" w:right="0" w:rightChars="0" w:firstLine="0" w:firstLineChars="0"/>
              <w:jc w:val="both"/>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 xml:space="preserve">评分因素     </w:t>
            </w:r>
            <w:r>
              <w:rPr>
                <w:rFonts w:hint="eastAsia" w:ascii="仿宋_GB2312" w:hAnsi="仿宋_GB2312" w:eastAsia="仿宋_GB2312" w:cs="仿宋_GB2312"/>
                <w:kern w:val="0"/>
                <w:szCs w:val="21"/>
              </w:rPr>
              <w:sym w:font="Wingdings" w:char="00FE"/>
            </w:r>
          </w:p>
          <w:p>
            <w:pPr>
              <w:widowControl/>
              <w:spacing w:line="320" w:lineRule="exact"/>
              <w:ind w:left="0" w:leftChars="0" w:right="0" w:rightChars="0" w:firstLine="0" w:firstLineChars="0"/>
              <w:jc w:val="both"/>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 xml:space="preserve">建议作为重要指标，适当增加分值权重         </w:t>
            </w:r>
            <w:r>
              <w:rPr>
                <w:rFonts w:hint="eastAsia" w:ascii="仿宋_GB2312" w:hAnsi="仿宋_GB2312" w:eastAsia="仿宋_GB2312" w:cs="仿宋_GB2312"/>
                <w:kern w:val="0"/>
                <w:szCs w:val="21"/>
              </w:rPr>
              <w:sym w:font="Wingdings" w:char="00A8"/>
            </w:r>
          </w:p>
        </w:tc>
        <w:tc>
          <w:tcPr>
            <w:tcW w:w="1269" w:type="pct"/>
            <w:vAlign w:val="center"/>
          </w:tcPr>
          <w:p>
            <w:pPr>
              <w:widowControl/>
              <w:spacing w:line="320" w:lineRule="exact"/>
              <w:ind w:left="0" w:leftChars="0" w:right="0" w:rightChars="0" w:firstLine="0" w:firstLineChars="0"/>
              <w:jc w:val="both"/>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无线速率≥4000M；处理器核数：双核,支持160MHz频宽,MU-MIMO+双频4T4R；</w:t>
            </w:r>
          </w:p>
        </w:tc>
        <w:tc>
          <w:tcPr>
            <w:tcW w:w="549" w:type="pct"/>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性能越高越好</w:t>
            </w:r>
          </w:p>
        </w:tc>
        <w:tc>
          <w:tcPr>
            <w:tcW w:w="469" w:type="pct"/>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供应商书面承诺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 w:type="pct"/>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17</w:t>
            </w:r>
          </w:p>
        </w:tc>
        <w:tc>
          <w:tcPr>
            <w:tcW w:w="235" w:type="pct"/>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产品规格</w:t>
            </w:r>
          </w:p>
        </w:tc>
        <w:tc>
          <w:tcPr>
            <w:tcW w:w="417" w:type="pct"/>
            <w:vMerge w:val="continue"/>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p>
        </w:tc>
        <w:tc>
          <w:tcPr>
            <w:tcW w:w="368" w:type="pct"/>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外置高性能独立信号放大器</w:t>
            </w:r>
          </w:p>
        </w:tc>
        <w:tc>
          <w:tcPr>
            <w:tcW w:w="428" w:type="pct"/>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w:t>
            </w:r>
          </w:p>
        </w:tc>
        <w:tc>
          <w:tcPr>
            <w:tcW w:w="1028" w:type="pct"/>
            <w:vAlign w:val="center"/>
          </w:tcPr>
          <w:p>
            <w:pPr>
              <w:widowControl/>
              <w:spacing w:line="320" w:lineRule="exact"/>
              <w:ind w:left="0" w:leftChars="0" w:right="0" w:rightChars="0" w:firstLine="0" w:firstLineChars="0"/>
              <w:jc w:val="both"/>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 xml:space="preserve">强制要求     </w:t>
            </w:r>
            <w:r>
              <w:rPr>
                <w:rFonts w:hint="eastAsia" w:ascii="仿宋_GB2312" w:hAnsi="仿宋_GB2312" w:eastAsia="仿宋_GB2312" w:cs="仿宋_GB2312"/>
                <w:kern w:val="0"/>
                <w:szCs w:val="21"/>
              </w:rPr>
              <w:sym w:font="Wingdings 2" w:char="00A3"/>
            </w:r>
          </w:p>
          <w:p>
            <w:pPr>
              <w:widowControl/>
              <w:spacing w:line="320" w:lineRule="exact"/>
              <w:ind w:left="0" w:leftChars="0" w:right="0" w:rightChars="0" w:firstLine="0" w:firstLineChars="0"/>
              <w:jc w:val="both"/>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 xml:space="preserve">评分因素     </w:t>
            </w:r>
            <w:r>
              <w:rPr>
                <w:rFonts w:hint="eastAsia" w:ascii="仿宋_GB2312" w:hAnsi="仿宋_GB2312" w:eastAsia="仿宋_GB2312" w:cs="仿宋_GB2312"/>
                <w:kern w:val="0"/>
                <w:szCs w:val="21"/>
              </w:rPr>
              <w:sym w:font="Wingdings" w:char="00FE"/>
            </w:r>
          </w:p>
          <w:p>
            <w:pPr>
              <w:widowControl/>
              <w:spacing w:line="320" w:lineRule="exact"/>
              <w:ind w:left="0" w:leftChars="0" w:right="0" w:rightChars="0" w:firstLine="0" w:firstLineChars="0"/>
              <w:jc w:val="both"/>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 xml:space="preserve">建议作为重要指标，适当增加分值权重         </w:t>
            </w:r>
            <w:r>
              <w:rPr>
                <w:rFonts w:hint="eastAsia" w:ascii="仿宋_GB2312" w:hAnsi="仿宋_GB2312" w:eastAsia="仿宋_GB2312" w:cs="仿宋_GB2312"/>
                <w:kern w:val="0"/>
                <w:szCs w:val="21"/>
              </w:rPr>
              <w:sym w:font="Wingdings" w:char="00A8"/>
            </w:r>
          </w:p>
        </w:tc>
        <w:tc>
          <w:tcPr>
            <w:tcW w:w="1269" w:type="pct"/>
            <w:vAlign w:val="center"/>
          </w:tcPr>
          <w:p>
            <w:pPr>
              <w:widowControl/>
              <w:spacing w:line="320" w:lineRule="exact"/>
              <w:ind w:left="0" w:leftChars="0" w:right="0" w:rightChars="0" w:firstLine="0" w:firstLineChars="0"/>
              <w:jc w:val="both"/>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≥6颗，提升WIFI发射动能，同时提升弱信号接受能力，增强中远距离传输效率。</w:t>
            </w:r>
          </w:p>
        </w:tc>
        <w:tc>
          <w:tcPr>
            <w:tcW w:w="549" w:type="pct"/>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满足指标要求</w:t>
            </w:r>
          </w:p>
        </w:tc>
        <w:tc>
          <w:tcPr>
            <w:tcW w:w="469" w:type="pct"/>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供应商书面承诺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 w:type="pct"/>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18</w:t>
            </w:r>
          </w:p>
        </w:tc>
        <w:tc>
          <w:tcPr>
            <w:tcW w:w="235" w:type="pct"/>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产品规格</w:t>
            </w:r>
          </w:p>
        </w:tc>
        <w:tc>
          <w:tcPr>
            <w:tcW w:w="417" w:type="pct"/>
            <w:vMerge w:val="restart"/>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一体化互动显示大屏</w:t>
            </w:r>
          </w:p>
        </w:tc>
        <w:tc>
          <w:tcPr>
            <w:tcW w:w="368" w:type="pct"/>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显示屏</w:t>
            </w:r>
          </w:p>
        </w:tc>
        <w:tc>
          <w:tcPr>
            <w:tcW w:w="428" w:type="pct"/>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w:t>
            </w:r>
          </w:p>
        </w:tc>
        <w:tc>
          <w:tcPr>
            <w:tcW w:w="1028" w:type="pct"/>
            <w:vAlign w:val="center"/>
          </w:tcPr>
          <w:p>
            <w:pPr>
              <w:widowControl/>
              <w:spacing w:line="320" w:lineRule="exact"/>
              <w:ind w:left="0" w:leftChars="0" w:right="0" w:rightChars="0" w:firstLine="0" w:firstLineChars="0"/>
              <w:jc w:val="both"/>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 xml:space="preserve">强制要求     </w:t>
            </w:r>
            <w:r>
              <w:rPr>
                <w:rFonts w:hint="eastAsia" w:ascii="仿宋_GB2312" w:hAnsi="仿宋_GB2312" w:eastAsia="仿宋_GB2312" w:cs="仿宋_GB2312"/>
                <w:kern w:val="0"/>
                <w:szCs w:val="21"/>
              </w:rPr>
              <w:sym w:font="Wingdings 2" w:char="00A3"/>
            </w:r>
          </w:p>
          <w:p>
            <w:pPr>
              <w:widowControl/>
              <w:spacing w:line="320" w:lineRule="exact"/>
              <w:ind w:left="0" w:leftChars="0" w:right="0" w:rightChars="0" w:firstLine="0" w:firstLineChars="0"/>
              <w:jc w:val="both"/>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 xml:space="preserve">评分因素     </w:t>
            </w:r>
            <w:r>
              <w:rPr>
                <w:rFonts w:hint="eastAsia" w:ascii="仿宋_GB2312" w:hAnsi="仿宋_GB2312" w:eastAsia="仿宋_GB2312" w:cs="仿宋_GB2312"/>
                <w:kern w:val="0"/>
                <w:szCs w:val="21"/>
              </w:rPr>
              <w:sym w:font="Wingdings" w:char="00FE"/>
            </w:r>
          </w:p>
          <w:p>
            <w:pPr>
              <w:widowControl/>
              <w:spacing w:line="320" w:lineRule="exact"/>
              <w:ind w:left="0" w:leftChars="0" w:right="0" w:rightChars="0" w:firstLine="0" w:firstLineChars="0"/>
              <w:jc w:val="both"/>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 xml:space="preserve">建议作为重要指标，适当增加分值权重         </w:t>
            </w:r>
            <w:r>
              <w:rPr>
                <w:rFonts w:hint="eastAsia" w:ascii="仿宋_GB2312" w:hAnsi="仿宋_GB2312" w:eastAsia="仿宋_GB2312" w:cs="仿宋_GB2312"/>
                <w:kern w:val="0"/>
                <w:szCs w:val="21"/>
              </w:rPr>
              <w:sym w:font="Wingdings" w:char="00A8"/>
            </w:r>
          </w:p>
        </w:tc>
        <w:tc>
          <w:tcPr>
            <w:tcW w:w="1269" w:type="pct"/>
            <w:vAlign w:val="center"/>
          </w:tcPr>
          <w:p>
            <w:pPr>
              <w:widowControl/>
              <w:spacing w:line="320" w:lineRule="exact"/>
              <w:ind w:left="0" w:leftChars="0" w:right="0" w:rightChars="0" w:firstLine="0" w:firstLineChars="0"/>
              <w:jc w:val="both"/>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整机采用≥86英寸UHD超高清LED液晶屏，显示比例16:9，分辨率3840×2160；整机钢化玻璃硬度≥9H；</w:t>
            </w:r>
          </w:p>
        </w:tc>
        <w:tc>
          <w:tcPr>
            <w:tcW w:w="549" w:type="pct"/>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显示屏规格越高越好</w:t>
            </w:r>
          </w:p>
        </w:tc>
        <w:tc>
          <w:tcPr>
            <w:tcW w:w="469" w:type="pct"/>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供应商书面承诺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 w:type="pct"/>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19</w:t>
            </w:r>
          </w:p>
        </w:tc>
        <w:tc>
          <w:tcPr>
            <w:tcW w:w="235" w:type="pct"/>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兼容要求</w:t>
            </w:r>
          </w:p>
        </w:tc>
        <w:tc>
          <w:tcPr>
            <w:tcW w:w="417" w:type="pct"/>
            <w:vMerge w:val="continue"/>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p>
        </w:tc>
        <w:tc>
          <w:tcPr>
            <w:tcW w:w="368" w:type="pct"/>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嵌入式系统版本</w:t>
            </w:r>
          </w:p>
        </w:tc>
        <w:tc>
          <w:tcPr>
            <w:tcW w:w="428" w:type="pct"/>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w:t>
            </w:r>
          </w:p>
        </w:tc>
        <w:tc>
          <w:tcPr>
            <w:tcW w:w="1028" w:type="pct"/>
            <w:vAlign w:val="center"/>
          </w:tcPr>
          <w:p>
            <w:pPr>
              <w:widowControl/>
              <w:spacing w:line="320" w:lineRule="exact"/>
              <w:ind w:left="0" w:leftChars="0" w:right="0" w:rightChars="0" w:firstLine="0" w:firstLineChars="0"/>
              <w:jc w:val="both"/>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 xml:space="preserve">强制要求     </w:t>
            </w:r>
            <w:r>
              <w:rPr>
                <w:rFonts w:hint="eastAsia" w:ascii="仿宋_GB2312" w:hAnsi="仿宋_GB2312" w:eastAsia="仿宋_GB2312" w:cs="仿宋_GB2312"/>
                <w:kern w:val="0"/>
                <w:szCs w:val="21"/>
              </w:rPr>
              <w:sym w:font="Wingdings 2" w:char="00A3"/>
            </w:r>
          </w:p>
          <w:p>
            <w:pPr>
              <w:widowControl/>
              <w:spacing w:line="320" w:lineRule="exact"/>
              <w:ind w:left="0" w:leftChars="0" w:right="0" w:rightChars="0" w:firstLine="0" w:firstLineChars="0"/>
              <w:jc w:val="both"/>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 xml:space="preserve">评分因素     </w:t>
            </w:r>
            <w:r>
              <w:rPr>
                <w:rFonts w:hint="eastAsia" w:ascii="仿宋_GB2312" w:hAnsi="仿宋_GB2312" w:eastAsia="仿宋_GB2312" w:cs="仿宋_GB2312"/>
                <w:kern w:val="0"/>
                <w:szCs w:val="21"/>
              </w:rPr>
              <w:sym w:font="Wingdings" w:char="00FE"/>
            </w:r>
          </w:p>
          <w:p>
            <w:pPr>
              <w:widowControl/>
              <w:spacing w:line="320" w:lineRule="exact"/>
              <w:ind w:left="0" w:leftChars="0" w:right="0" w:rightChars="0" w:firstLine="0" w:firstLineChars="0"/>
              <w:jc w:val="both"/>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 xml:space="preserve">建议作为重要指标，适当增加分值权重         </w:t>
            </w:r>
            <w:r>
              <w:rPr>
                <w:rFonts w:hint="eastAsia" w:ascii="仿宋_GB2312" w:hAnsi="仿宋_GB2312" w:eastAsia="仿宋_GB2312" w:cs="仿宋_GB2312"/>
                <w:kern w:val="0"/>
                <w:szCs w:val="21"/>
              </w:rPr>
              <w:sym w:font="Wingdings" w:char="00A8"/>
            </w:r>
          </w:p>
        </w:tc>
        <w:tc>
          <w:tcPr>
            <w:tcW w:w="1269" w:type="pct"/>
            <w:vAlign w:val="center"/>
          </w:tcPr>
          <w:p>
            <w:pPr>
              <w:widowControl/>
              <w:spacing w:line="320" w:lineRule="exact"/>
              <w:ind w:left="0" w:leftChars="0" w:right="0" w:rightChars="0" w:firstLine="0" w:firstLineChars="0"/>
              <w:jc w:val="both"/>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不低于Android 11，内存≥2GB，存储空间≥8GB；</w:t>
            </w:r>
          </w:p>
        </w:tc>
        <w:tc>
          <w:tcPr>
            <w:tcW w:w="549" w:type="pct"/>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兼容性越高越好</w:t>
            </w:r>
          </w:p>
        </w:tc>
        <w:tc>
          <w:tcPr>
            <w:tcW w:w="469" w:type="pct"/>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供应商书面承诺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 w:type="pct"/>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20</w:t>
            </w:r>
          </w:p>
        </w:tc>
        <w:tc>
          <w:tcPr>
            <w:tcW w:w="235" w:type="pct"/>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性能要求</w:t>
            </w:r>
          </w:p>
        </w:tc>
        <w:tc>
          <w:tcPr>
            <w:tcW w:w="417" w:type="pct"/>
            <w:vMerge w:val="continue"/>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p>
        </w:tc>
        <w:tc>
          <w:tcPr>
            <w:tcW w:w="368" w:type="pct"/>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内置电脑</w:t>
            </w:r>
          </w:p>
        </w:tc>
        <w:tc>
          <w:tcPr>
            <w:tcW w:w="428" w:type="pct"/>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w:t>
            </w:r>
          </w:p>
        </w:tc>
        <w:tc>
          <w:tcPr>
            <w:tcW w:w="1028" w:type="pct"/>
            <w:vAlign w:val="center"/>
          </w:tcPr>
          <w:p>
            <w:pPr>
              <w:widowControl/>
              <w:spacing w:line="320" w:lineRule="exact"/>
              <w:ind w:left="0" w:leftChars="0" w:right="0" w:rightChars="0" w:firstLine="0" w:firstLineChars="0"/>
              <w:jc w:val="both"/>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 xml:space="preserve">强制要求     </w:t>
            </w:r>
            <w:r>
              <w:rPr>
                <w:rFonts w:hint="eastAsia" w:ascii="仿宋_GB2312" w:hAnsi="仿宋_GB2312" w:eastAsia="仿宋_GB2312" w:cs="仿宋_GB2312"/>
                <w:kern w:val="0"/>
                <w:szCs w:val="21"/>
              </w:rPr>
              <w:sym w:font="Wingdings 2" w:char="00A3"/>
            </w:r>
          </w:p>
          <w:p>
            <w:pPr>
              <w:widowControl/>
              <w:spacing w:line="320" w:lineRule="exact"/>
              <w:ind w:left="0" w:leftChars="0" w:right="0" w:rightChars="0" w:firstLine="0" w:firstLineChars="0"/>
              <w:jc w:val="both"/>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 xml:space="preserve">评分因素     </w:t>
            </w:r>
            <w:r>
              <w:rPr>
                <w:rFonts w:hint="eastAsia" w:ascii="仿宋_GB2312" w:hAnsi="仿宋_GB2312" w:eastAsia="仿宋_GB2312" w:cs="仿宋_GB2312"/>
                <w:kern w:val="0"/>
                <w:szCs w:val="21"/>
              </w:rPr>
              <w:sym w:font="Wingdings" w:char="00FE"/>
            </w:r>
          </w:p>
          <w:p>
            <w:pPr>
              <w:widowControl/>
              <w:spacing w:line="320" w:lineRule="exact"/>
              <w:ind w:left="0" w:leftChars="0" w:right="0" w:rightChars="0" w:firstLine="0" w:firstLineChars="0"/>
              <w:jc w:val="both"/>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 xml:space="preserve">建议作为重要指标，适当增加分值权重         </w:t>
            </w:r>
            <w:r>
              <w:rPr>
                <w:rFonts w:hint="eastAsia" w:ascii="仿宋_GB2312" w:hAnsi="仿宋_GB2312" w:eastAsia="仿宋_GB2312" w:cs="仿宋_GB2312"/>
                <w:kern w:val="0"/>
                <w:szCs w:val="21"/>
              </w:rPr>
              <w:sym w:font="Wingdings" w:char="00A8"/>
            </w:r>
          </w:p>
        </w:tc>
        <w:tc>
          <w:tcPr>
            <w:tcW w:w="1269" w:type="pct"/>
            <w:vAlign w:val="center"/>
          </w:tcPr>
          <w:p>
            <w:pPr>
              <w:widowControl/>
              <w:spacing w:line="320" w:lineRule="exact"/>
              <w:ind w:left="0" w:leftChars="0" w:right="0" w:rightChars="0" w:firstLine="0" w:firstLineChars="0"/>
              <w:jc w:val="both"/>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CPU≥2.4GHz；内存≥8GB DDR4，硬盘≥256GB SSD；OPS电脑模块和整机的连接采用万兆级接口，传输速率≥10Gbps；采用按压式卡扣，无需工具就可快速拆卸电脑模块。</w:t>
            </w:r>
          </w:p>
        </w:tc>
        <w:tc>
          <w:tcPr>
            <w:tcW w:w="549" w:type="pct"/>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性能越高越好</w:t>
            </w:r>
          </w:p>
        </w:tc>
        <w:tc>
          <w:tcPr>
            <w:tcW w:w="469" w:type="pct"/>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供应商书面承诺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 w:type="pct"/>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21</w:t>
            </w:r>
          </w:p>
        </w:tc>
        <w:tc>
          <w:tcPr>
            <w:tcW w:w="235" w:type="pct"/>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产品规格</w:t>
            </w:r>
          </w:p>
        </w:tc>
        <w:tc>
          <w:tcPr>
            <w:tcW w:w="417" w:type="pct"/>
            <w:vMerge w:val="restart"/>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集成式移动推车</w:t>
            </w:r>
          </w:p>
        </w:tc>
        <w:tc>
          <w:tcPr>
            <w:tcW w:w="368" w:type="pct"/>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产品尺寸</w:t>
            </w:r>
          </w:p>
        </w:tc>
        <w:tc>
          <w:tcPr>
            <w:tcW w:w="428" w:type="pct"/>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w:t>
            </w:r>
          </w:p>
        </w:tc>
        <w:tc>
          <w:tcPr>
            <w:tcW w:w="1028" w:type="pct"/>
            <w:vAlign w:val="center"/>
          </w:tcPr>
          <w:p>
            <w:pPr>
              <w:widowControl/>
              <w:spacing w:line="320" w:lineRule="exact"/>
              <w:ind w:left="0" w:leftChars="0" w:right="0" w:rightChars="0" w:firstLine="0" w:firstLineChars="0"/>
              <w:jc w:val="both"/>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 xml:space="preserve">强制要求     </w:t>
            </w:r>
            <w:r>
              <w:rPr>
                <w:rFonts w:hint="eastAsia" w:ascii="仿宋_GB2312" w:hAnsi="仿宋_GB2312" w:eastAsia="仿宋_GB2312" w:cs="仿宋_GB2312"/>
                <w:kern w:val="0"/>
                <w:szCs w:val="21"/>
              </w:rPr>
              <w:sym w:font="Wingdings 2" w:char="00A3"/>
            </w:r>
          </w:p>
          <w:p>
            <w:pPr>
              <w:widowControl/>
              <w:spacing w:line="320" w:lineRule="exact"/>
              <w:ind w:left="0" w:leftChars="0" w:right="0" w:rightChars="0" w:firstLine="0" w:firstLineChars="0"/>
              <w:jc w:val="both"/>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 xml:space="preserve">评分因素     </w:t>
            </w:r>
            <w:r>
              <w:rPr>
                <w:rFonts w:hint="eastAsia" w:ascii="仿宋_GB2312" w:hAnsi="仿宋_GB2312" w:eastAsia="仿宋_GB2312" w:cs="仿宋_GB2312"/>
                <w:kern w:val="0"/>
                <w:szCs w:val="21"/>
              </w:rPr>
              <w:sym w:font="Wingdings" w:char="00FE"/>
            </w:r>
          </w:p>
          <w:p>
            <w:pPr>
              <w:widowControl/>
              <w:spacing w:line="320" w:lineRule="exact"/>
              <w:ind w:left="0" w:leftChars="0" w:right="0" w:rightChars="0" w:firstLine="0" w:firstLineChars="0"/>
              <w:jc w:val="both"/>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 xml:space="preserve">建议作为重要指标，适当增加分值权重         </w:t>
            </w:r>
            <w:r>
              <w:rPr>
                <w:rFonts w:hint="eastAsia" w:ascii="仿宋_GB2312" w:hAnsi="仿宋_GB2312" w:eastAsia="仿宋_GB2312" w:cs="仿宋_GB2312"/>
                <w:kern w:val="0"/>
                <w:szCs w:val="21"/>
              </w:rPr>
              <w:sym w:font="Wingdings" w:char="00A8"/>
            </w:r>
          </w:p>
        </w:tc>
        <w:tc>
          <w:tcPr>
            <w:tcW w:w="1269" w:type="pct"/>
            <w:vAlign w:val="center"/>
          </w:tcPr>
          <w:p>
            <w:pPr>
              <w:widowControl/>
              <w:spacing w:line="320" w:lineRule="exact"/>
              <w:ind w:left="0" w:leftChars="0" w:right="0" w:rightChars="0" w:firstLine="0" w:firstLineChars="0"/>
              <w:jc w:val="both"/>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≥580×600×1010 mm（长×宽×高）</w:t>
            </w:r>
          </w:p>
        </w:tc>
        <w:tc>
          <w:tcPr>
            <w:tcW w:w="549" w:type="pct"/>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可放置按压模拟人、AR增强现实头显等配件，可供1-2人进行实验操作或观摩学习</w:t>
            </w:r>
          </w:p>
        </w:tc>
        <w:tc>
          <w:tcPr>
            <w:tcW w:w="469" w:type="pct"/>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查看厂商产品声明文件或者产品说明书（规格书）或者公开发布的宣传彩页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 w:type="pct"/>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22</w:t>
            </w:r>
          </w:p>
        </w:tc>
        <w:tc>
          <w:tcPr>
            <w:tcW w:w="235" w:type="pct"/>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产品规格</w:t>
            </w:r>
          </w:p>
        </w:tc>
        <w:tc>
          <w:tcPr>
            <w:tcW w:w="417" w:type="pct"/>
            <w:vMerge w:val="continue"/>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p>
        </w:tc>
        <w:tc>
          <w:tcPr>
            <w:tcW w:w="368" w:type="pct"/>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接口</w:t>
            </w:r>
          </w:p>
        </w:tc>
        <w:tc>
          <w:tcPr>
            <w:tcW w:w="428" w:type="pct"/>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w:t>
            </w:r>
          </w:p>
        </w:tc>
        <w:tc>
          <w:tcPr>
            <w:tcW w:w="1028" w:type="pct"/>
            <w:vAlign w:val="center"/>
          </w:tcPr>
          <w:p>
            <w:pPr>
              <w:widowControl/>
              <w:spacing w:line="320" w:lineRule="exact"/>
              <w:ind w:left="0" w:leftChars="0" w:right="0" w:rightChars="0" w:firstLine="0" w:firstLineChars="0"/>
              <w:jc w:val="both"/>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 xml:space="preserve">强制要求     </w:t>
            </w:r>
            <w:r>
              <w:rPr>
                <w:rFonts w:hint="eastAsia" w:ascii="仿宋_GB2312" w:hAnsi="仿宋_GB2312" w:eastAsia="仿宋_GB2312" w:cs="仿宋_GB2312"/>
                <w:kern w:val="0"/>
                <w:szCs w:val="21"/>
              </w:rPr>
              <w:sym w:font="Wingdings 2" w:char="00A3"/>
            </w:r>
          </w:p>
          <w:p>
            <w:pPr>
              <w:widowControl/>
              <w:spacing w:line="320" w:lineRule="exact"/>
              <w:ind w:left="0" w:leftChars="0" w:right="0" w:rightChars="0" w:firstLine="0" w:firstLineChars="0"/>
              <w:jc w:val="both"/>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 xml:space="preserve">评分因素     </w:t>
            </w:r>
            <w:r>
              <w:rPr>
                <w:rFonts w:hint="eastAsia" w:ascii="仿宋_GB2312" w:hAnsi="仿宋_GB2312" w:eastAsia="仿宋_GB2312" w:cs="仿宋_GB2312"/>
                <w:kern w:val="0"/>
                <w:szCs w:val="21"/>
              </w:rPr>
              <w:sym w:font="Wingdings" w:char="00FE"/>
            </w:r>
          </w:p>
          <w:p>
            <w:pPr>
              <w:widowControl/>
              <w:spacing w:line="320" w:lineRule="exact"/>
              <w:ind w:left="0" w:leftChars="0" w:right="0" w:rightChars="0" w:firstLine="0" w:firstLineChars="0"/>
              <w:jc w:val="both"/>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 xml:space="preserve">建议作为重要指标，适当增加分值权重         </w:t>
            </w:r>
            <w:r>
              <w:rPr>
                <w:rFonts w:hint="eastAsia" w:ascii="仿宋_GB2312" w:hAnsi="仿宋_GB2312" w:eastAsia="仿宋_GB2312" w:cs="仿宋_GB2312"/>
                <w:kern w:val="0"/>
                <w:szCs w:val="21"/>
              </w:rPr>
              <w:sym w:font="Wingdings" w:char="00A8"/>
            </w:r>
          </w:p>
        </w:tc>
        <w:tc>
          <w:tcPr>
            <w:tcW w:w="1269" w:type="pct"/>
            <w:vAlign w:val="center"/>
          </w:tcPr>
          <w:p>
            <w:pPr>
              <w:widowControl/>
              <w:spacing w:line="320" w:lineRule="exact"/>
              <w:ind w:left="0" w:leftChars="0" w:right="0" w:rightChars="0" w:firstLine="0" w:firstLineChars="0"/>
              <w:jc w:val="both"/>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外部接口≧2个USB接口，1个网线接口，1个HDMI接口，4个220V电源插口；</w:t>
            </w:r>
          </w:p>
        </w:tc>
        <w:tc>
          <w:tcPr>
            <w:tcW w:w="549" w:type="pct"/>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接口数满足最低要求</w:t>
            </w:r>
          </w:p>
        </w:tc>
        <w:tc>
          <w:tcPr>
            <w:tcW w:w="469" w:type="pct"/>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查看厂商产品声明文件或者产品说明书（规格书）或者公开发布的宣传彩页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 w:type="pct"/>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23</w:t>
            </w:r>
          </w:p>
        </w:tc>
        <w:tc>
          <w:tcPr>
            <w:tcW w:w="235" w:type="pct"/>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产品规格</w:t>
            </w:r>
          </w:p>
        </w:tc>
        <w:tc>
          <w:tcPr>
            <w:tcW w:w="417" w:type="pct"/>
            <w:vMerge w:val="continue"/>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p>
        </w:tc>
        <w:tc>
          <w:tcPr>
            <w:tcW w:w="368" w:type="pct"/>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附件收纳方式</w:t>
            </w:r>
          </w:p>
        </w:tc>
        <w:tc>
          <w:tcPr>
            <w:tcW w:w="428" w:type="pct"/>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w:t>
            </w:r>
          </w:p>
        </w:tc>
        <w:tc>
          <w:tcPr>
            <w:tcW w:w="1028" w:type="pct"/>
            <w:vAlign w:val="center"/>
          </w:tcPr>
          <w:p>
            <w:pPr>
              <w:widowControl/>
              <w:spacing w:line="320" w:lineRule="exact"/>
              <w:ind w:left="0" w:leftChars="0" w:right="0" w:rightChars="0" w:firstLine="0" w:firstLineChars="0"/>
              <w:jc w:val="both"/>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 xml:space="preserve">强制要求     </w:t>
            </w:r>
            <w:r>
              <w:rPr>
                <w:rFonts w:hint="eastAsia" w:ascii="仿宋_GB2312" w:hAnsi="仿宋_GB2312" w:eastAsia="仿宋_GB2312" w:cs="仿宋_GB2312"/>
                <w:kern w:val="0"/>
                <w:szCs w:val="21"/>
              </w:rPr>
              <w:sym w:font="Wingdings 2" w:char="00A3"/>
            </w:r>
          </w:p>
          <w:p>
            <w:pPr>
              <w:widowControl/>
              <w:spacing w:line="320" w:lineRule="exact"/>
              <w:ind w:left="0" w:leftChars="0" w:right="0" w:rightChars="0" w:firstLine="0" w:firstLineChars="0"/>
              <w:jc w:val="both"/>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 xml:space="preserve">评分因素     </w:t>
            </w:r>
            <w:r>
              <w:rPr>
                <w:rFonts w:hint="eastAsia" w:ascii="仿宋_GB2312" w:hAnsi="仿宋_GB2312" w:eastAsia="仿宋_GB2312" w:cs="仿宋_GB2312"/>
                <w:kern w:val="0"/>
                <w:szCs w:val="21"/>
              </w:rPr>
              <w:sym w:font="Wingdings" w:char="00FE"/>
            </w:r>
          </w:p>
          <w:p>
            <w:pPr>
              <w:widowControl/>
              <w:spacing w:line="320" w:lineRule="exact"/>
              <w:ind w:left="0" w:leftChars="0" w:right="0" w:rightChars="0" w:firstLine="0" w:firstLineChars="0"/>
              <w:jc w:val="both"/>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 xml:space="preserve">建议作为重要指标，适当增加分值权重         </w:t>
            </w:r>
            <w:r>
              <w:rPr>
                <w:rFonts w:hint="eastAsia" w:ascii="仿宋_GB2312" w:hAnsi="仿宋_GB2312" w:eastAsia="仿宋_GB2312" w:cs="仿宋_GB2312"/>
                <w:kern w:val="0"/>
                <w:szCs w:val="21"/>
              </w:rPr>
              <w:sym w:font="Wingdings" w:char="00A8"/>
            </w:r>
          </w:p>
        </w:tc>
        <w:tc>
          <w:tcPr>
            <w:tcW w:w="1269" w:type="pct"/>
            <w:vAlign w:val="center"/>
          </w:tcPr>
          <w:p>
            <w:pPr>
              <w:widowControl/>
              <w:spacing w:line="320" w:lineRule="exact"/>
              <w:ind w:left="0" w:leftChars="0" w:right="0" w:rightChars="0" w:firstLine="0" w:firstLineChars="0"/>
              <w:jc w:val="both"/>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采用平台下方柜门设计；设备稳固方式：可调支脚；</w:t>
            </w:r>
          </w:p>
        </w:tc>
        <w:tc>
          <w:tcPr>
            <w:tcW w:w="549" w:type="pct"/>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保证实验平台平稳固定</w:t>
            </w:r>
          </w:p>
        </w:tc>
        <w:tc>
          <w:tcPr>
            <w:tcW w:w="469" w:type="pct"/>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查看厂商产品声明文件或者产品说明书（规格书）或者公开发布的宣传彩页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 w:type="pct"/>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24</w:t>
            </w:r>
          </w:p>
        </w:tc>
        <w:tc>
          <w:tcPr>
            <w:tcW w:w="235" w:type="pct"/>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性能要求</w:t>
            </w:r>
          </w:p>
        </w:tc>
        <w:tc>
          <w:tcPr>
            <w:tcW w:w="417" w:type="pct"/>
            <w:vMerge w:val="continue"/>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p>
        </w:tc>
        <w:tc>
          <w:tcPr>
            <w:tcW w:w="368" w:type="pct"/>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w:t>
            </w:r>
          </w:p>
        </w:tc>
        <w:tc>
          <w:tcPr>
            <w:tcW w:w="428" w:type="pct"/>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w:t>
            </w:r>
          </w:p>
        </w:tc>
        <w:tc>
          <w:tcPr>
            <w:tcW w:w="1028" w:type="pct"/>
            <w:vAlign w:val="center"/>
          </w:tcPr>
          <w:p>
            <w:pPr>
              <w:widowControl/>
              <w:spacing w:line="320" w:lineRule="exact"/>
              <w:ind w:left="0" w:leftChars="0" w:right="0" w:rightChars="0" w:firstLine="0" w:firstLineChars="0"/>
              <w:jc w:val="both"/>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 xml:space="preserve">强制要求     </w:t>
            </w:r>
            <w:r>
              <w:rPr>
                <w:rFonts w:hint="eastAsia" w:ascii="仿宋_GB2312" w:hAnsi="仿宋_GB2312" w:eastAsia="仿宋_GB2312" w:cs="仿宋_GB2312"/>
                <w:kern w:val="0"/>
                <w:szCs w:val="21"/>
              </w:rPr>
              <w:sym w:font="Wingdings 2" w:char="00A3"/>
            </w:r>
          </w:p>
          <w:p>
            <w:pPr>
              <w:widowControl/>
              <w:spacing w:line="320" w:lineRule="exact"/>
              <w:ind w:left="0" w:leftChars="0" w:right="0" w:rightChars="0" w:firstLine="0" w:firstLineChars="0"/>
              <w:jc w:val="both"/>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 xml:space="preserve">评分因素     </w:t>
            </w:r>
            <w:r>
              <w:rPr>
                <w:rFonts w:hint="eastAsia" w:ascii="仿宋_GB2312" w:hAnsi="仿宋_GB2312" w:eastAsia="仿宋_GB2312" w:cs="仿宋_GB2312"/>
                <w:kern w:val="0"/>
                <w:szCs w:val="21"/>
              </w:rPr>
              <w:sym w:font="Wingdings" w:char="00FE"/>
            </w:r>
          </w:p>
          <w:p>
            <w:pPr>
              <w:widowControl/>
              <w:spacing w:line="320" w:lineRule="exact"/>
              <w:ind w:left="0" w:leftChars="0" w:right="0" w:rightChars="0" w:firstLine="0" w:firstLineChars="0"/>
              <w:jc w:val="both"/>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 xml:space="preserve">建议作为重要指标，适当增加分值权重         </w:t>
            </w:r>
            <w:r>
              <w:rPr>
                <w:rFonts w:hint="eastAsia" w:ascii="仿宋_GB2312" w:hAnsi="仿宋_GB2312" w:eastAsia="仿宋_GB2312" w:cs="仿宋_GB2312"/>
                <w:kern w:val="0"/>
                <w:szCs w:val="21"/>
              </w:rPr>
              <w:sym w:font="Wingdings" w:char="00A8"/>
            </w:r>
          </w:p>
        </w:tc>
        <w:tc>
          <w:tcPr>
            <w:tcW w:w="1269" w:type="pct"/>
            <w:vAlign w:val="center"/>
          </w:tcPr>
          <w:p>
            <w:pPr>
              <w:widowControl/>
              <w:spacing w:line="320" w:lineRule="exact"/>
              <w:ind w:left="0" w:leftChars="0" w:right="0" w:rightChars="0" w:firstLine="0" w:firstLineChars="0"/>
              <w:jc w:val="both"/>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处理器≥3.60GHz，硬盘≥512G SSD 高速固态硬盘，内存≥8G DDR4 高频内存</w:t>
            </w:r>
          </w:p>
        </w:tc>
        <w:tc>
          <w:tcPr>
            <w:tcW w:w="549" w:type="pct"/>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性能越高越好</w:t>
            </w:r>
          </w:p>
        </w:tc>
        <w:tc>
          <w:tcPr>
            <w:tcW w:w="469" w:type="pct"/>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供应商书面承诺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 w:type="pct"/>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25</w:t>
            </w:r>
          </w:p>
        </w:tc>
        <w:tc>
          <w:tcPr>
            <w:tcW w:w="235" w:type="pct"/>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产品规格</w:t>
            </w:r>
          </w:p>
        </w:tc>
        <w:tc>
          <w:tcPr>
            <w:tcW w:w="417" w:type="pct"/>
            <w:vMerge w:val="continue"/>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p>
        </w:tc>
        <w:tc>
          <w:tcPr>
            <w:tcW w:w="368" w:type="pct"/>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屏幕</w:t>
            </w:r>
          </w:p>
        </w:tc>
        <w:tc>
          <w:tcPr>
            <w:tcW w:w="428" w:type="pct"/>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w:t>
            </w:r>
          </w:p>
        </w:tc>
        <w:tc>
          <w:tcPr>
            <w:tcW w:w="1028" w:type="pct"/>
            <w:vAlign w:val="center"/>
          </w:tcPr>
          <w:p>
            <w:pPr>
              <w:widowControl/>
              <w:spacing w:line="320" w:lineRule="exact"/>
              <w:ind w:left="0" w:leftChars="0" w:right="0" w:rightChars="0" w:firstLine="0" w:firstLineChars="0"/>
              <w:jc w:val="both"/>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 xml:space="preserve">强制要求     </w:t>
            </w:r>
            <w:r>
              <w:rPr>
                <w:rFonts w:hint="eastAsia" w:ascii="仿宋_GB2312" w:hAnsi="仿宋_GB2312" w:eastAsia="仿宋_GB2312" w:cs="仿宋_GB2312"/>
                <w:kern w:val="0"/>
                <w:szCs w:val="21"/>
              </w:rPr>
              <w:sym w:font="Wingdings 2" w:char="00A3"/>
            </w:r>
          </w:p>
          <w:p>
            <w:pPr>
              <w:widowControl/>
              <w:spacing w:line="320" w:lineRule="exact"/>
              <w:ind w:left="0" w:leftChars="0" w:right="0" w:rightChars="0" w:firstLine="0" w:firstLineChars="0"/>
              <w:jc w:val="both"/>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 xml:space="preserve">评分因素     </w:t>
            </w:r>
            <w:r>
              <w:rPr>
                <w:rFonts w:hint="eastAsia" w:ascii="仿宋_GB2312" w:hAnsi="仿宋_GB2312" w:eastAsia="仿宋_GB2312" w:cs="仿宋_GB2312"/>
                <w:kern w:val="0"/>
                <w:szCs w:val="21"/>
              </w:rPr>
              <w:sym w:font="Wingdings" w:char="00FE"/>
            </w:r>
          </w:p>
          <w:p>
            <w:pPr>
              <w:widowControl/>
              <w:spacing w:line="320" w:lineRule="exact"/>
              <w:ind w:left="0" w:leftChars="0" w:right="0" w:rightChars="0" w:firstLine="0" w:firstLineChars="0"/>
              <w:jc w:val="both"/>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 xml:space="preserve">建议作为重要指标，适当增加分值权重         </w:t>
            </w:r>
            <w:r>
              <w:rPr>
                <w:rFonts w:hint="eastAsia" w:ascii="仿宋_GB2312" w:hAnsi="仿宋_GB2312" w:eastAsia="仿宋_GB2312" w:cs="仿宋_GB2312"/>
                <w:kern w:val="0"/>
                <w:szCs w:val="21"/>
              </w:rPr>
              <w:sym w:font="Wingdings" w:char="00A8"/>
            </w:r>
          </w:p>
        </w:tc>
        <w:tc>
          <w:tcPr>
            <w:tcW w:w="1269" w:type="pct"/>
            <w:vAlign w:val="center"/>
          </w:tcPr>
          <w:p>
            <w:pPr>
              <w:widowControl/>
              <w:spacing w:line="320" w:lineRule="exact"/>
              <w:ind w:left="0" w:leftChars="0" w:right="0" w:rightChars="0" w:firstLine="0" w:firstLineChars="0"/>
              <w:jc w:val="both"/>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≥24英寸高清大屏</w:t>
            </w:r>
          </w:p>
        </w:tc>
        <w:tc>
          <w:tcPr>
            <w:tcW w:w="549" w:type="pct"/>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屏幕尺寸至少满足最低要求</w:t>
            </w:r>
          </w:p>
        </w:tc>
        <w:tc>
          <w:tcPr>
            <w:tcW w:w="469" w:type="pct"/>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查看厂商产品声明文件或者产品说明书（规格书）或者公开发布的宣传彩页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 w:type="pct"/>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26</w:t>
            </w:r>
          </w:p>
        </w:tc>
        <w:tc>
          <w:tcPr>
            <w:tcW w:w="235" w:type="pct"/>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性能要求</w:t>
            </w:r>
          </w:p>
        </w:tc>
        <w:tc>
          <w:tcPr>
            <w:tcW w:w="417" w:type="pct"/>
            <w:vMerge w:val="restart"/>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无线网络套装</w:t>
            </w:r>
          </w:p>
        </w:tc>
        <w:tc>
          <w:tcPr>
            <w:tcW w:w="368" w:type="pct"/>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服务器</w:t>
            </w:r>
          </w:p>
        </w:tc>
        <w:tc>
          <w:tcPr>
            <w:tcW w:w="428" w:type="pct"/>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w:t>
            </w:r>
          </w:p>
        </w:tc>
        <w:tc>
          <w:tcPr>
            <w:tcW w:w="1028" w:type="pct"/>
            <w:vAlign w:val="center"/>
          </w:tcPr>
          <w:p>
            <w:pPr>
              <w:widowControl/>
              <w:spacing w:line="320" w:lineRule="exact"/>
              <w:ind w:left="0" w:leftChars="0" w:right="0" w:rightChars="0" w:firstLine="0" w:firstLineChars="0"/>
              <w:jc w:val="both"/>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 xml:space="preserve">强制要求     </w:t>
            </w:r>
            <w:r>
              <w:rPr>
                <w:rFonts w:hint="eastAsia" w:ascii="仿宋_GB2312" w:hAnsi="仿宋_GB2312" w:eastAsia="仿宋_GB2312" w:cs="仿宋_GB2312"/>
                <w:kern w:val="0"/>
                <w:szCs w:val="21"/>
              </w:rPr>
              <w:sym w:font="Wingdings 2" w:char="00A3"/>
            </w:r>
          </w:p>
          <w:p>
            <w:pPr>
              <w:widowControl/>
              <w:spacing w:line="320" w:lineRule="exact"/>
              <w:ind w:left="0" w:leftChars="0" w:right="0" w:rightChars="0" w:firstLine="0" w:firstLineChars="0"/>
              <w:jc w:val="both"/>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 xml:space="preserve">评分因素     </w:t>
            </w:r>
            <w:r>
              <w:rPr>
                <w:rFonts w:hint="eastAsia" w:ascii="仿宋_GB2312" w:hAnsi="仿宋_GB2312" w:eastAsia="仿宋_GB2312" w:cs="仿宋_GB2312"/>
                <w:kern w:val="0"/>
                <w:szCs w:val="21"/>
              </w:rPr>
              <w:sym w:font="Wingdings" w:char="00FE"/>
            </w:r>
          </w:p>
          <w:p>
            <w:pPr>
              <w:widowControl/>
              <w:spacing w:line="320" w:lineRule="exact"/>
              <w:ind w:left="0" w:leftChars="0" w:right="0" w:rightChars="0" w:firstLine="0" w:firstLineChars="0"/>
              <w:jc w:val="both"/>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 xml:space="preserve">建议作为重要指标，适当增加分值权重         </w:t>
            </w:r>
            <w:r>
              <w:rPr>
                <w:rFonts w:hint="eastAsia" w:ascii="仿宋_GB2312" w:hAnsi="仿宋_GB2312" w:eastAsia="仿宋_GB2312" w:cs="仿宋_GB2312"/>
                <w:kern w:val="0"/>
                <w:szCs w:val="21"/>
              </w:rPr>
              <w:sym w:font="Wingdings" w:char="00FE"/>
            </w:r>
          </w:p>
        </w:tc>
        <w:tc>
          <w:tcPr>
            <w:tcW w:w="1269" w:type="pct"/>
            <w:vAlign w:val="center"/>
          </w:tcPr>
          <w:p>
            <w:pPr>
              <w:widowControl/>
              <w:spacing w:line="320" w:lineRule="exact"/>
              <w:ind w:left="0" w:leftChars="0" w:right="0" w:rightChars="0" w:firstLine="0" w:firstLineChars="0"/>
              <w:jc w:val="both"/>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CPU主频1.7Ghz，核心数量8核，CPU数2个；内存24G DDR4，频率2400Mhz；硬盘1T，固态硬盘512G；网卡带宽1000Mbps，网卡数量2个。</w:t>
            </w:r>
          </w:p>
        </w:tc>
        <w:tc>
          <w:tcPr>
            <w:tcW w:w="549" w:type="pct"/>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服务器性能越高越好</w:t>
            </w:r>
          </w:p>
        </w:tc>
        <w:tc>
          <w:tcPr>
            <w:tcW w:w="469" w:type="pct"/>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供应商书面承诺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 w:type="pct"/>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27</w:t>
            </w:r>
          </w:p>
        </w:tc>
        <w:tc>
          <w:tcPr>
            <w:tcW w:w="235" w:type="pct"/>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性能要求</w:t>
            </w:r>
          </w:p>
        </w:tc>
        <w:tc>
          <w:tcPr>
            <w:tcW w:w="417" w:type="pct"/>
            <w:vMerge w:val="continue"/>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p>
        </w:tc>
        <w:tc>
          <w:tcPr>
            <w:tcW w:w="368" w:type="pct"/>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交换机</w:t>
            </w:r>
          </w:p>
        </w:tc>
        <w:tc>
          <w:tcPr>
            <w:tcW w:w="428" w:type="pct"/>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w:t>
            </w:r>
          </w:p>
        </w:tc>
        <w:tc>
          <w:tcPr>
            <w:tcW w:w="1028" w:type="pct"/>
            <w:vAlign w:val="center"/>
          </w:tcPr>
          <w:p>
            <w:pPr>
              <w:widowControl/>
              <w:spacing w:line="320" w:lineRule="exact"/>
              <w:ind w:left="0" w:leftChars="0" w:right="0" w:rightChars="0" w:firstLine="0" w:firstLineChars="0"/>
              <w:jc w:val="both"/>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 xml:space="preserve">强制要求     </w:t>
            </w:r>
            <w:r>
              <w:rPr>
                <w:rFonts w:hint="eastAsia" w:ascii="仿宋_GB2312" w:hAnsi="仿宋_GB2312" w:eastAsia="仿宋_GB2312" w:cs="仿宋_GB2312"/>
                <w:kern w:val="0"/>
                <w:szCs w:val="21"/>
              </w:rPr>
              <w:sym w:font="Wingdings 2" w:char="00A3"/>
            </w:r>
          </w:p>
          <w:p>
            <w:pPr>
              <w:widowControl/>
              <w:spacing w:line="320" w:lineRule="exact"/>
              <w:ind w:left="0" w:leftChars="0" w:right="0" w:rightChars="0" w:firstLine="0" w:firstLineChars="0"/>
              <w:jc w:val="both"/>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 xml:space="preserve">评分因素     </w:t>
            </w:r>
            <w:r>
              <w:rPr>
                <w:rFonts w:hint="eastAsia" w:ascii="仿宋_GB2312" w:hAnsi="仿宋_GB2312" w:eastAsia="仿宋_GB2312" w:cs="仿宋_GB2312"/>
                <w:kern w:val="0"/>
                <w:szCs w:val="21"/>
              </w:rPr>
              <w:sym w:font="Wingdings" w:char="00FE"/>
            </w:r>
          </w:p>
          <w:p>
            <w:pPr>
              <w:widowControl/>
              <w:spacing w:line="320" w:lineRule="exact"/>
              <w:ind w:left="0" w:leftChars="0" w:right="0" w:rightChars="0" w:firstLine="0" w:firstLineChars="0"/>
              <w:jc w:val="both"/>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 xml:space="preserve">建议作为重要指标，适当增加分值权重         </w:t>
            </w:r>
            <w:r>
              <w:rPr>
                <w:rFonts w:hint="eastAsia" w:ascii="仿宋_GB2312" w:hAnsi="仿宋_GB2312" w:eastAsia="仿宋_GB2312" w:cs="仿宋_GB2312"/>
                <w:kern w:val="0"/>
                <w:szCs w:val="21"/>
              </w:rPr>
              <w:sym w:font="Wingdings" w:char="00A8"/>
            </w:r>
          </w:p>
        </w:tc>
        <w:tc>
          <w:tcPr>
            <w:tcW w:w="1269" w:type="pct"/>
            <w:vAlign w:val="center"/>
          </w:tcPr>
          <w:p>
            <w:pPr>
              <w:widowControl/>
              <w:spacing w:line="320" w:lineRule="exact"/>
              <w:ind w:left="0" w:leftChars="0" w:right="0" w:rightChars="0" w:firstLine="0" w:firstLineChars="0"/>
              <w:jc w:val="both"/>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上行端口速率1000Mbps，下行端口速率1000Mbps，端口数量48口。</w:t>
            </w:r>
          </w:p>
        </w:tc>
        <w:tc>
          <w:tcPr>
            <w:tcW w:w="549" w:type="pct"/>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满足指标要求</w:t>
            </w:r>
          </w:p>
        </w:tc>
        <w:tc>
          <w:tcPr>
            <w:tcW w:w="469" w:type="pct"/>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供应商书面承诺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 w:type="pct"/>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28</w:t>
            </w:r>
          </w:p>
        </w:tc>
        <w:tc>
          <w:tcPr>
            <w:tcW w:w="235" w:type="pct"/>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产品规格</w:t>
            </w:r>
          </w:p>
        </w:tc>
        <w:tc>
          <w:tcPr>
            <w:tcW w:w="417" w:type="pct"/>
            <w:vMerge w:val="continue"/>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p>
        </w:tc>
        <w:tc>
          <w:tcPr>
            <w:tcW w:w="368" w:type="pct"/>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控制器</w:t>
            </w:r>
          </w:p>
        </w:tc>
        <w:tc>
          <w:tcPr>
            <w:tcW w:w="428" w:type="pct"/>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w:t>
            </w:r>
          </w:p>
        </w:tc>
        <w:tc>
          <w:tcPr>
            <w:tcW w:w="1028" w:type="pct"/>
            <w:vAlign w:val="center"/>
          </w:tcPr>
          <w:p>
            <w:pPr>
              <w:widowControl/>
              <w:spacing w:line="320" w:lineRule="exact"/>
              <w:ind w:left="0" w:leftChars="0" w:right="0" w:rightChars="0" w:firstLine="0" w:firstLineChars="0"/>
              <w:jc w:val="both"/>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 xml:space="preserve">强制要求     </w:t>
            </w:r>
            <w:r>
              <w:rPr>
                <w:rFonts w:hint="eastAsia" w:ascii="仿宋_GB2312" w:hAnsi="仿宋_GB2312" w:eastAsia="仿宋_GB2312" w:cs="仿宋_GB2312"/>
                <w:kern w:val="0"/>
                <w:szCs w:val="21"/>
              </w:rPr>
              <w:sym w:font="Wingdings 2" w:char="00A3"/>
            </w:r>
          </w:p>
          <w:p>
            <w:pPr>
              <w:widowControl/>
              <w:spacing w:line="320" w:lineRule="exact"/>
              <w:ind w:left="0" w:leftChars="0" w:right="0" w:rightChars="0" w:firstLine="0" w:firstLineChars="0"/>
              <w:jc w:val="both"/>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 xml:space="preserve">评分因素     </w:t>
            </w:r>
            <w:r>
              <w:rPr>
                <w:rFonts w:hint="eastAsia" w:ascii="仿宋_GB2312" w:hAnsi="仿宋_GB2312" w:eastAsia="仿宋_GB2312" w:cs="仿宋_GB2312"/>
                <w:kern w:val="0"/>
                <w:szCs w:val="21"/>
              </w:rPr>
              <w:sym w:font="Wingdings" w:char="00FE"/>
            </w:r>
          </w:p>
          <w:p>
            <w:pPr>
              <w:widowControl/>
              <w:spacing w:line="320" w:lineRule="exact"/>
              <w:ind w:left="0" w:leftChars="0" w:right="0" w:rightChars="0" w:firstLine="0" w:firstLineChars="0"/>
              <w:jc w:val="both"/>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 xml:space="preserve">建议作为重要指标，适当增加分值权重         </w:t>
            </w:r>
            <w:r>
              <w:rPr>
                <w:rFonts w:hint="eastAsia" w:ascii="仿宋_GB2312" w:hAnsi="仿宋_GB2312" w:eastAsia="仿宋_GB2312" w:cs="仿宋_GB2312"/>
                <w:kern w:val="0"/>
                <w:szCs w:val="21"/>
              </w:rPr>
              <w:sym w:font="Wingdings" w:char="00A8"/>
            </w:r>
          </w:p>
        </w:tc>
        <w:tc>
          <w:tcPr>
            <w:tcW w:w="1269" w:type="pct"/>
            <w:vAlign w:val="center"/>
          </w:tcPr>
          <w:p>
            <w:pPr>
              <w:widowControl/>
              <w:spacing w:line="320" w:lineRule="exact"/>
              <w:ind w:left="0" w:leftChars="0" w:right="0" w:rightChars="0" w:firstLine="0" w:firstLineChars="0"/>
              <w:jc w:val="both"/>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控制单位10个AP， 接口5*GE，功能模块：路由、防火墙、无线AC。</w:t>
            </w:r>
          </w:p>
        </w:tc>
        <w:tc>
          <w:tcPr>
            <w:tcW w:w="549" w:type="pct"/>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满足指标要求</w:t>
            </w:r>
          </w:p>
        </w:tc>
        <w:tc>
          <w:tcPr>
            <w:tcW w:w="469" w:type="pct"/>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供应商书面承诺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 w:type="pct"/>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29</w:t>
            </w:r>
          </w:p>
        </w:tc>
        <w:tc>
          <w:tcPr>
            <w:tcW w:w="235" w:type="pct"/>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产品规格</w:t>
            </w:r>
          </w:p>
        </w:tc>
        <w:tc>
          <w:tcPr>
            <w:tcW w:w="417" w:type="pct"/>
            <w:vMerge w:val="continue"/>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p>
        </w:tc>
        <w:tc>
          <w:tcPr>
            <w:tcW w:w="368" w:type="pct"/>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高密AP</w:t>
            </w:r>
          </w:p>
        </w:tc>
        <w:tc>
          <w:tcPr>
            <w:tcW w:w="428" w:type="pct"/>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w:t>
            </w:r>
          </w:p>
        </w:tc>
        <w:tc>
          <w:tcPr>
            <w:tcW w:w="1028" w:type="pct"/>
            <w:vAlign w:val="center"/>
          </w:tcPr>
          <w:p>
            <w:pPr>
              <w:widowControl/>
              <w:spacing w:line="320" w:lineRule="exact"/>
              <w:ind w:left="0" w:leftChars="0" w:right="0" w:rightChars="0" w:firstLine="0" w:firstLineChars="0"/>
              <w:jc w:val="both"/>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 xml:space="preserve">强制要求     </w:t>
            </w:r>
            <w:r>
              <w:rPr>
                <w:rFonts w:hint="eastAsia" w:ascii="仿宋_GB2312" w:hAnsi="仿宋_GB2312" w:eastAsia="仿宋_GB2312" w:cs="仿宋_GB2312"/>
                <w:kern w:val="0"/>
                <w:szCs w:val="21"/>
              </w:rPr>
              <w:sym w:font="Wingdings 2" w:char="00A3"/>
            </w:r>
          </w:p>
          <w:p>
            <w:pPr>
              <w:widowControl/>
              <w:spacing w:line="320" w:lineRule="exact"/>
              <w:ind w:left="0" w:leftChars="0" w:right="0" w:rightChars="0" w:firstLine="0" w:firstLineChars="0"/>
              <w:jc w:val="both"/>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 xml:space="preserve">评分因素     </w:t>
            </w:r>
            <w:r>
              <w:rPr>
                <w:rFonts w:hint="eastAsia" w:ascii="仿宋_GB2312" w:hAnsi="仿宋_GB2312" w:eastAsia="仿宋_GB2312" w:cs="仿宋_GB2312"/>
                <w:kern w:val="0"/>
                <w:szCs w:val="21"/>
              </w:rPr>
              <w:sym w:font="Wingdings" w:char="00FE"/>
            </w:r>
          </w:p>
          <w:p>
            <w:pPr>
              <w:widowControl/>
              <w:spacing w:line="320" w:lineRule="exact"/>
              <w:ind w:left="0" w:leftChars="0" w:right="0" w:rightChars="0" w:firstLine="0" w:firstLineChars="0"/>
              <w:jc w:val="both"/>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 xml:space="preserve">建议作为重要指标，适当增加分值权重         </w:t>
            </w:r>
            <w:r>
              <w:rPr>
                <w:rFonts w:hint="eastAsia" w:ascii="仿宋_GB2312" w:hAnsi="仿宋_GB2312" w:eastAsia="仿宋_GB2312" w:cs="仿宋_GB2312"/>
                <w:kern w:val="0"/>
                <w:szCs w:val="21"/>
              </w:rPr>
              <w:sym w:font="Wingdings" w:char="00A8"/>
            </w:r>
          </w:p>
        </w:tc>
        <w:tc>
          <w:tcPr>
            <w:tcW w:w="1269" w:type="pct"/>
            <w:vAlign w:val="center"/>
          </w:tcPr>
          <w:p>
            <w:pPr>
              <w:widowControl/>
              <w:spacing w:line="320" w:lineRule="exact"/>
              <w:ind w:left="0" w:leftChars="0" w:right="0" w:rightChars="0" w:firstLine="0" w:firstLineChars="0"/>
              <w:jc w:val="both"/>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发射功率20dBm， 接口包括但不限于1GE+1IOT，支持模式802.11ac Wave2</w:t>
            </w:r>
          </w:p>
        </w:tc>
        <w:tc>
          <w:tcPr>
            <w:tcW w:w="549" w:type="pct"/>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满足指标要求</w:t>
            </w:r>
          </w:p>
        </w:tc>
        <w:tc>
          <w:tcPr>
            <w:tcW w:w="469" w:type="pct"/>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供应商书面承诺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 w:type="pct"/>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30</w:t>
            </w:r>
          </w:p>
        </w:tc>
        <w:tc>
          <w:tcPr>
            <w:tcW w:w="235" w:type="pct"/>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产品规格</w:t>
            </w:r>
          </w:p>
        </w:tc>
        <w:tc>
          <w:tcPr>
            <w:tcW w:w="417" w:type="pct"/>
            <w:vMerge w:val="continue"/>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p>
        </w:tc>
        <w:tc>
          <w:tcPr>
            <w:tcW w:w="368" w:type="pct"/>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机柜</w:t>
            </w:r>
          </w:p>
        </w:tc>
        <w:tc>
          <w:tcPr>
            <w:tcW w:w="428" w:type="pct"/>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w:t>
            </w:r>
          </w:p>
        </w:tc>
        <w:tc>
          <w:tcPr>
            <w:tcW w:w="1028" w:type="pct"/>
            <w:vAlign w:val="center"/>
          </w:tcPr>
          <w:p>
            <w:pPr>
              <w:widowControl/>
              <w:spacing w:line="320" w:lineRule="exact"/>
              <w:ind w:left="0" w:leftChars="0" w:right="0" w:rightChars="0" w:firstLine="0" w:firstLineChars="0"/>
              <w:jc w:val="both"/>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 xml:space="preserve">强制要求     </w:t>
            </w:r>
            <w:r>
              <w:rPr>
                <w:rFonts w:hint="eastAsia" w:ascii="仿宋_GB2312" w:hAnsi="仿宋_GB2312" w:eastAsia="仿宋_GB2312" w:cs="仿宋_GB2312"/>
                <w:kern w:val="0"/>
                <w:szCs w:val="21"/>
              </w:rPr>
              <w:sym w:font="Wingdings 2" w:char="00A3"/>
            </w:r>
          </w:p>
          <w:p>
            <w:pPr>
              <w:widowControl/>
              <w:spacing w:line="320" w:lineRule="exact"/>
              <w:ind w:left="0" w:leftChars="0" w:right="0" w:rightChars="0" w:firstLine="0" w:firstLineChars="0"/>
              <w:jc w:val="both"/>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 xml:space="preserve">评分因素     </w:t>
            </w:r>
            <w:r>
              <w:rPr>
                <w:rFonts w:hint="eastAsia" w:ascii="仿宋_GB2312" w:hAnsi="仿宋_GB2312" w:eastAsia="仿宋_GB2312" w:cs="仿宋_GB2312"/>
                <w:kern w:val="0"/>
                <w:szCs w:val="21"/>
              </w:rPr>
              <w:sym w:font="Wingdings" w:char="00FE"/>
            </w:r>
          </w:p>
          <w:p>
            <w:pPr>
              <w:widowControl/>
              <w:spacing w:line="320" w:lineRule="exact"/>
              <w:ind w:left="0" w:leftChars="0" w:right="0" w:rightChars="0" w:firstLine="0" w:firstLineChars="0"/>
              <w:jc w:val="both"/>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 xml:space="preserve">建议作为重要指标，适当增加分值权重         </w:t>
            </w:r>
            <w:r>
              <w:rPr>
                <w:rFonts w:hint="eastAsia" w:ascii="仿宋_GB2312" w:hAnsi="仿宋_GB2312" w:eastAsia="仿宋_GB2312" w:cs="仿宋_GB2312"/>
                <w:kern w:val="0"/>
                <w:szCs w:val="21"/>
              </w:rPr>
              <w:sym w:font="Wingdings" w:char="00A8"/>
            </w:r>
          </w:p>
        </w:tc>
        <w:tc>
          <w:tcPr>
            <w:tcW w:w="1269" w:type="pct"/>
            <w:vAlign w:val="center"/>
          </w:tcPr>
          <w:p>
            <w:pPr>
              <w:widowControl/>
              <w:spacing w:line="320" w:lineRule="exact"/>
              <w:ind w:left="0" w:leftChars="0" w:right="0" w:rightChars="0" w:firstLine="0" w:firstLineChars="0"/>
              <w:jc w:val="both"/>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容量32U，宽600mm、深1000mm、高1610mm；带PDU。</w:t>
            </w:r>
          </w:p>
        </w:tc>
        <w:tc>
          <w:tcPr>
            <w:tcW w:w="549" w:type="pct"/>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满足指标要求</w:t>
            </w:r>
          </w:p>
        </w:tc>
        <w:tc>
          <w:tcPr>
            <w:tcW w:w="469" w:type="pct"/>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供应商书面承诺</w:t>
            </w:r>
          </w:p>
        </w:tc>
      </w:tr>
    </w:tbl>
    <w:p>
      <w:pPr>
        <w:pStyle w:val="23"/>
        <w:ind w:firstLine="640"/>
        <w:rPr>
          <w:sz w:val="32"/>
          <w:szCs w:val="32"/>
        </w:rPr>
      </w:pPr>
    </w:p>
    <w:p>
      <w:pPr>
        <w:pStyle w:val="23"/>
        <w:ind w:firstLine="640"/>
        <w:rPr>
          <w:sz w:val="32"/>
          <w:szCs w:val="32"/>
        </w:rPr>
      </w:pPr>
      <w:r>
        <w:rPr>
          <w:rFonts w:hint="eastAsia"/>
          <w:sz w:val="32"/>
          <w:szCs w:val="32"/>
        </w:rPr>
        <w:t>3.3.2实验资源</w:t>
      </w:r>
    </w:p>
    <w:p>
      <w:pPr>
        <w:pStyle w:val="23"/>
        <w:ind w:firstLine="640"/>
        <w:rPr>
          <w:rFonts w:hint="eastAsia"/>
          <w:sz w:val="32"/>
          <w:szCs w:val="32"/>
        </w:rPr>
      </w:pPr>
      <w:r>
        <w:rPr>
          <w:rFonts w:hint="eastAsia"/>
          <w:sz w:val="32"/>
          <w:szCs w:val="32"/>
        </w:rPr>
        <w:t>3.3.2.1脑基底核解剖与功能虚拟仿真实验1套：包括但不限于基底核的构成、基底核各核的特点、基底核的纤维联系、基底核的环路、基底核的功能；沉浸式观察帕金森病的症状和电刺激治疗完毕后的效果；扫描并重建实体脑及内部结构、自有移除、调取、重新组合任何区域等。具体技术参数如下：</w:t>
      </w:r>
    </w:p>
    <w:tbl>
      <w:tblPr>
        <w:tblStyle w:val="11"/>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5"/>
        <w:gridCol w:w="640"/>
        <w:gridCol w:w="752"/>
        <w:gridCol w:w="1359"/>
        <w:gridCol w:w="1869"/>
        <w:gridCol w:w="2289"/>
        <w:gridCol w:w="894"/>
        <w:gridCol w:w="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40" w:type="pct"/>
            <w:vAlign w:val="center"/>
          </w:tcPr>
          <w:p>
            <w:pPr>
              <w:widowControl/>
              <w:spacing w:line="320" w:lineRule="exact"/>
              <w:ind w:left="0" w:leftChars="0" w:right="0" w:rightChars="0" w:firstLine="0" w:firstLineChars="0"/>
              <w:jc w:val="center"/>
              <w:rPr>
                <w:rFonts w:hint="eastAsia" w:ascii="仿宋_GB2312" w:hAnsi="仿宋_GB2312" w:eastAsia="仿宋_GB2312" w:cs="仿宋_GB2312"/>
                <w:b/>
                <w:bCs/>
                <w:kern w:val="0"/>
                <w:szCs w:val="21"/>
              </w:rPr>
            </w:pPr>
            <w:r>
              <w:rPr>
                <w:rFonts w:hint="eastAsia" w:ascii="仿宋_GB2312" w:hAnsi="仿宋_GB2312" w:eastAsia="仿宋_GB2312" w:cs="仿宋_GB2312"/>
                <w:b/>
                <w:bCs/>
                <w:kern w:val="0"/>
                <w:szCs w:val="21"/>
              </w:rPr>
              <w:t>序号</w:t>
            </w:r>
          </w:p>
        </w:tc>
        <w:tc>
          <w:tcPr>
            <w:tcW w:w="353" w:type="pct"/>
            <w:vAlign w:val="center"/>
          </w:tcPr>
          <w:p>
            <w:pPr>
              <w:widowControl/>
              <w:spacing w:line="320" w:lineRule="exact"/>
              <w:ind w:left="0" w:leftChars="0" w:right="0" w:rightChars="0" w:firstLine="0" w:firstLineChars="0"/>
              <w:jc w:val="center"/>
              <w:rPr>
                <w:rFonts w:hint="eastAsia" w:ascii="仿宋_GB2312" w:hAnsi="仿宋_GB2312" w:eastAsia="仿宋_GB2312" w:cs="仿宋_GB2312"/>
                <w:b/>
                <w:bCs/>
                <w:kern w:val="0"/>
                <w:szCs w:val="21"/>
              </w:rPr>
            </w:pPr>
            <w:r>
              <w:rPr>
                <w:rFonts w:hint="eastAsia" w:ascii="仿宋_GB2312" w:hAnsi="仿宋_GB2312" w:eastAsia="仿宋_GB2312" w:cs="仿宋_GB2312"/>
                <w:b/>
                <w:bCs/>
                <w:kern w:val="0"/>
                <w:szCs w:val="21"/>
              </w:rPr>
              <w:t>分类</w:t>
            </w:r>
          </w:p>
        </w:tc>
        <w:tc>
          <w:tcPr>
            <w:tcW w:w="415" w:type="pct"/>
            <w:vAlign w:val="center"/>
          </w:tcPr>
          <w:p>
            <w:pPr>
              <w:widowControl/>
              <w:spacing w:line="320" w:lineRule="exact"/>
              <w:ind w:left="0" w:leftChars="0" w:right="0" w:rightChars="0" w:firstLine="0" w:firstLineChars="0"/>
              <w:jc w:val="center"/>
              <w:rPr>
                <w:rFonts w:hint="eastAsia" w:ascii="仿宋_GB2312" w:hAnsi="仿宋_GB2312" w:eastAsia="仿宋_GB2312" w:cs="仿宋_GB2312"/>
                <w:b/>
                <w:bCs/>
                <w:kern w:val="0"/>
                <w:szCs w:val="21"/>
              </w:rPr>
            </w:pPr>
            <w:r>
              <w:rPr>
                <w:rFonts w:hint="eastAsia" w:ascii="仿宋_GB2312" w:hAnsi="仿宋_GB2312" w:eastAsia="仿宋_GB2312" w:cs="仿宋_GB2312"/>
                <w:b/>
                <w:bCs/>
                <w:kern w:val="0"/>
                <w:szCs w:val="21"/>
              </w:rPr>
              <w:t>一级</w:t>
            </w:r>
          </w:p>
          <w:p>
            <w:pPr>
              <w:widowControl/>
              <w:spacing w:line="320" w:lineRule="exact"/>
              <w:ind w:left="0" w:leftChars="0" w:right="0" w:rightChars="0" w:firstLine="0" w:firstLineChars="0"/>
              <w:jc w:val="center"/>
              <w:rPr>
                <w:rFonts w:hint="eastAsia" w:ascii="仿宋_GB2312" w:hAnsi="仿宋_GB2312" w:eastAsia="仿宋_GB2312" w:cs="仿宋_GB2312"/>
                <w:b/>
                <w:bCs/>
                <w:kern w:val="0"/>
                <w:szCs w:val="21"/>
              </w:rPr>
            </w:pPr>
            <w:r>
              <w:rPr>
                <w:rFonts w:hint="eastAsia" w:ascii="仿宋_GB2312" w:hAnsi="仿宋_GB2312" w:eastAsia="仿宋_GB2312" w:cs="仿宋_GB2312"/>
                <w:b/>
                <w:bCs/>
                <w:kern w:val="0"/>
                <w:szCs w:val="21"/>
              </w:rPr>
              <w:t>指标</w:t>
            </w:r>
          </w:p>
        </w:tc>
        <w:tc>
          <w:tcPr>
            <w:tcW w:w="750" w:type="pct"/>
            <w:vAlign w:val="center"/>
          </w:tcPr>
          <w:p>
            <w:pPr>
              <w:widowControl/>
              <w:spacing w:line="320" w:lineRule="exact"/>
              <w:ind w:left="0" w:leftChars="0" w:right="0" w:rightChars="0" w:firstLine="0" w:firstLineChars="0"/>
              <w:jc w:val="center"/>
              <w:rPr>
                <w:rFonts w:hint="eastAsia" w:ascii="仿宋_GB2312" w:hAnsi="仿宋_GB2312" w:eastAsia="仿宋_GB2312" w:cs="仿宋_GB2312"/>
                <w:b/>
                <w:bCs/>
                <w:kern w:val="0"/>
                <w:szCs w:val="21"/>
              </w:rPr>
            </w:pPr>
            <w:r>
              <w:rPr>
                <w:rFonts w:hint="eastAsia" w:ascii="仿宋_GB2312" w:hAnsi="仿宋_GB2312" w:eastAsia="仿宋_GB2312" w:cs="仿宋_GB2312"/>
                <w:b/>
                <w:bCs/>
                <w:kern w:val="0"/>
                <w:szCs w:val="21"/>
              </w:rPr>
              <w:t>二级</w:t>
            </w:r>
          </w:p>
          <w:p>
            <w:pPr>
              <w:widowControl/>
              <w:spacing w:line="320" w:lineRule="exact"/>
              <w:ind w:left="0" w:leftChars="0" w:right="0" w:rightChars="0" w:firstLine="0" w:firstLineChars="0"/>
              <w:jc w:val="center"/>
              <w:rPr>
                <w:rFonts w:hint="eastAsia" w:ascii="仿宋_GB2312" w:hAnsi="仿宋_GB2312" w:eastAsia="仿宋_GB2312" w:cs="仿宋_GB2312"/>
                <w:b/>
                <w:bCs/>
                <w:kern w:val="0"/>
                <w:szCs w:val="21"/>
              </w:rPr>
            </w:pPr>
            <w:r>
              <w:rPr>
                <w:rFonts w:hint="eastAsia" w:ascii="仿宋_GB2312" w:hAnsi="仿宋_GB2312" w:eastAsia="仿宋_GB2312" w:cs="仿宋_GB2312"/>
                <w:b/>
                <w:bCs/>
                <w:kern w:val="0"/>
                <w:szCs w:val="21"/>
              </w:rPr>
              <w:t>指标及以下指标</w:t>
            </w:r>
          </w:p>
        </w:tc>
        <w:tc>
          <w:tcPr>
            <w:tcW w:w="1031" w:type="pct"/>
            <w:vAlign w:val="center"/>
          </w:tcPr>
          <w:p>
            <w:pPr>
              <w:widowControl/>
              <w:spacing w:line="320" w:lineRule="exact"/>
              <w:ind w:left="0" w:leftChars="0" w:right="0" w:rightChars="0" w:firstLine="0" w:firstLineChars="0"/>
              <w:jc w:val="center"/>
              <w:rPr>
                <w:rFonts w:hint="eastAsia" w:ascii="仿宋_GB2312" w:hAnsi="仿宋_GB2312" w:eastAsia="仿宋_GB2312" w:cs="仿宋_GB2312"/>
                <w:b/>
                <w:bCs/>
                <w:kern w:val="0"/>
                <w:szCs w:val="21"/>
              </w:rPr>
            </w:pPr>
            <w:r>
              <w:rPr>
                <w:rFonts w:hint="eastAsia" w:ascii="仿宋_GB2312" w:hAnsi="仿宋_GB2312" w:eastAsia="仿宋_GB2312" w:cs="仿宋_GB2312"/>
                <w:b/>
                <w:bCs/>
                <w:kern w:val="0"/>
                <w:szCs w:val="21"/>
              </w:rPr>
              <w:t>是否作为强制要求及评分因素等</w:t>
            </w:r>
          </w:p>
        </w:tc>
        <w:tc>
          <w:tcPr>
            <w:tcW w:w="1263" w:type="pct"/>
            <w:vAlign w:val="center"/>
          </w:tcPr>
          <w:p>
            <w:pPr>
              <w:widowControl/>
              <w:spacing w:line="320" w:lineRule="exact"/>
              <w:ind w:left="0" w:leftChars="0" w:right="0" w:rightChars="0" w:firstLine="0" w:firstLineChars="0"/>
              <w:jc w:val="center"/>
              <w:rPr>
                <w:rFonts w:hint="eastAsia" w:ascii="仿宋_GB2312" w:hAnsi="仿宋_GB2312" w:eastAsia="仿宋_GB2312" w:cs="仿宋_GB2312"/>
                <w:b/>
                <w:bCs/>
                <w:kern w:val="0"/>
                <w:szCs w:val="21"/>
              </w:rPr>
            </w:pPr>
            <w:r>
              <w:rPr>
                <w:rFonts w:hint="eastAsia" w:ascii="仿宋_GB2312" w:hAnsi="仿宋_GB2312" w:eastAsia="仿宋_GB2312" w:cs="仿宋_GB2312"/>
                <w:b/>
                <w:bCs/>
                <w:kern w:val="0"/>
                <w:szCs w:val="21"/>
              </w:rPr>
              <w:t>指标要求</w:t>
            </w:r>
          </w:p>
        </w:tc>
        <w:tc>
          <w:tcPr>
            <w:tcW w:w="493" w:type="pct"/>
            <w:vAlign w:val="center"/>
          </w:tcPr>
          <w:p>
            <w:pPr>
              <w:widowControl/>
              <w:spacing w:line="320" w:lineRule="exact"/>
              <w:ind w:left="0" w:leftChars="0" w:right="0" w:rightChars="0" w:firstLine="0" w:firstLineChars="0"/>
              <w:jc w:val="center"/>
              <w:rPr>
                <w:rFonts w:hint="eastAsia" w:ascii="仿宋_GB2312" w:hAnsi="仿宋_GB2312" w:eastAsia="仿宋_GB2312" w:cs="仿宋_GB2312"/>
                <w:b/>
                <w:bCs/>
                <w:kern w:val="0"/>
                <w:szCs w:val="21"/>
              </w:rPr>
            </w:pPr>
            <w:r>
              <w:rPr>
                <w:rFonts w:hint="eastAsia" w:ascii="仿宋_GB2312" w:hAnsi="仿宋_GB2312" w:eastAsia="仿宋_GB2312" w:cs="仿宋_GB2312"/>
                <w:b/>
                <w:bCs/>
                <w:kern w:val="0"/>
                <w:szCs w:val="21"/>
              </w:rPr>
              <w:t>指标使用说明</w:t>
            </w:r>
          </w:p>
        </w:tc>
        <w:tc>
          <w:tcPr>
            <w:tcW w:w="451" w:type="pct"/>
            <w:vAlign w:val="center"/>
          </w:tcPr>
          <w:p>
            <w:pPr>
              <w:widowControl/>
              <w:spacing w:line="320" w:lineRule="exact"/>
              <w:ind w:left="0" w:leftChars="0" w:right="0" w:rightChars="0" w:firstLine="0" w:firstLineChars="0"/>
              <w:jc w:val="center"/>
              <w:rPr>
                <w:rFonts w:hint="eastAsia" w:ascii="仿宋_GB2312" w:hAnsi="仿宋_GB2312" w:eastAsia="仿宋_GB2312" w:cs="仿宋_GB2312"/>
                <w:b/>
                <w:bCs/>
                <w:kern w:val="0"/>
                <w:szCs w:val="21"/>
              </w:rPr>
            </w:pPr>
            <w:r>
              <w:rPr>
                <w:rFonts w:hint="eastAsia" w:ascii="仿宋_GB2312" w:hAnsi="仿宋_GB2312" w:eastAsia="仿宋_GB2312" w:cs="仿宋_GB2312"/>
                <w:b/>
                <w:bCs/>
                <w:kern w:val="0"/>
                <w:szCs w:val="21"/>
              </w:rPr>
              <w:t>证明方式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 w:type="pct"/>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1</w:t>
            </w:r>
          </w:p>
        </w:tc>
        <w:tc>
          <w:tcPr>
            <w:tcW w:w="353" w:type="pct"/>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脑基底核解剖与功能虚拟仿真实验</w:t>
            </w:r>
          </w:p>
        </w:tc>
        <w:tc>
          <w:tcPr>
            <w:tcW w:w="415" w:type="pct"/>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w:t>
            </w:r>
          </w:p>
        </w:tc>
        <w:tc>
          <w:tcPr>
            <w:tcW w:w="750" w:type="pct"/>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w:t>
            </w:r>
          </w:p>
        </w:tc>
        <w:tc>
          <w:tcPr>
            <w:tcW w:w="1031" w:type="pct"/>
            <w:vAlign w:val="center"/>
          </w:tcPr>
          <w:p>
            <w:pPr>
              <w:widowControl/>
              <w:spacing w:line="320" w:lineRule="exact"/>
              <w:ind w:left="0" w:leftChars="0" w:right="0" w:rightChars="0" w:firstLine="0" w:firstLineChars="0"/>
              <w:jc w:val="both"/>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 xml:space="preserve">强制要求     </w:t>
            </w:r>
            <w:r>
              <w:rPr>
                <w:rFonts w:hint="eastAsia" w:ascii="仿宋_GB2312" w:hAnsi="仿宋_GB2312" w:eastAsia="仿宋_GB2312" w:cs="仿宋_GB2312"/>
                <w:kern w:val="0"/>
                <w:szCs w:val="21"/>
              </w:rPr>
              <w:sym w:font="Wingdings" w:char="00FE"/>
            </w:r>
          </w:p>
          <w:p>
            <w:pPr>
              <w:widowControl/>
              <w:spacing w:line="320" w:lineRule="exact"/>
              <w:ind w:left="0" w:leftChars="0" w:right="0" w:rightChars="0" w:firstLine="0" w:firstLineChars="0"/>
              <w:jc w:val="both"/>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 xml:space="preserve">评分因素     </w:t>
            </w:r>
            <w:r>
              <w:rPr>
                <w:rFonts w:hint="eastAsia" w:ascii="仿宋_GB2312" w:hAnsi="仿宋_GB2312" w:eastAsia="仿宋_GB2312" w:cs="仿宋_GB2312"/>
                <w:kern w:val="0"/>
                <w:szCs w:val="21"/>
              </w:rPr>
              <w:sym w:font="Wingdings" w:char="00A8"/>
            </w:r>
          </w:p>
          <w:p>
            <w:pPr>
              <w:widowControl/>
              <w:spacing w:line="320" w:lineRule="exact"/>
              <w:ind w:left="0" w:leftChars="0" w:right="0" w:rightChars="0" w:firstLine="0" w:firstLineChars="0"/>
              <w:jc w:val="both"/>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 xml:space="preserve">建议作为重要指标，适当增加分值权重         </w:t>
            </w:r>
            <w:r>
              <w:rPr>
                <w:rFonts w:hint="eastAsia" w:ascii="仿宋_GB2312" w:hAnsi="仿宋_GB2312" w:eastAsia="仿宋_GB2312" w:cs="仿宋_GB2312"/>
                <w:kern w:val="0"/>
                <w:szCs w:val="21"/>
              </w:rPr>
              <w:sym w:font="Wingdings" w:char="00A8"/>
            </w:r>
          </w:p>
        </w:tc>
        <w:tc>
          <w:tcPr>
            <w:tcW w:w="1263" w:type="pct"/>
            <w:vAlign w:val="center"/>
          </w:tcPr>
          <w:p>
            <w:pPr>
              <w:widowControl/>
              <w:spacing w:line="320" w:lineRule="exact"/>
              <w:ind w:left="0" w:leftChars="0" w:right="0" w:rightChars="0" w:firstLine="0" w:firstLineChars="0"/>
              <w:jc w:val="both"/>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要求能够扫描并重建实体脑及内部结构，之后动态呈现人体颅脑结构，可用不同的颜色动态显示不同的区域，可移除任何区域，可调取任何区域，并重新组合；对包括但不限于额叶、顶叶、颞叶等颅脑各部的动态展示；对大脑半球上外侧面、内侧面结构动态展示；能够展示去除脑皮质及纤维，显示基底核的解剖划分及各个核团的具体位置和空间关系；显示基底核的临床划分，包括但不限于纹状体、苍白球；显示基底核的各核的特点，包括但不限于纹状体、苍白球；显示基底核各核团间主要的纤维联系及其传递特性，设计1种以上神经递质的神经传递。设计并动态显示基底核各核团神经元活性增强和降低的状态；显示神经通路调节后正常的机能状态，以及某核团病变后异常的症状。</w:t>
            </w:r>
          </w:p>
        </w:tc>
        <w:tc>
          <w:tcPr>
            <w:tcW w:w="493" w:type="pct"/>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提供的功能齐全完整，呈现效果达到要求</w:t>
            </w:r>
          </w:p>
        </w:tc>
        <w:tc>
          <w:tcPr>
            <w:tcW w:w="451" w:type="pct"/>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供应商书面承诺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 w:type="pct"/>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2</w:t>
            </w:r>
          </w:p>
        </w:tc>
        <w:tc>
          <w:tcPr>
            <w:tcW w:w="353" w:type="pct"/>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脑基底核解剖与功能虚拟仿真实验</w:t>
            </w:r>
          </w:p>
        </w:tc>
        <w:tc>
          <w:tcPr>
            <w:tcW w:w="415" w:type="pct"/>
            <w:vMerge w:val="restart"/>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模型动画技术</w:t>
            </w:r>
          </w:p>
        </w:tc>
        <w:tc>
          <w:tcPr>
            <w:tcW w:w="750" w:type="pct"/>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模型制作</w:t>
            </w:r>
          </w:p>
        </w:tc>
        <w:tc>
          <w:tcPr>
            <w:tcW w:w="1031" w:type="pct"/>
            <w:vAlign w:val="center"/>
          </w:tcPr>
          <w:p>
            <w:pPr>
              <w:widowControl/>
              <w:spacing w:line="320" w:lineRule="exact"/>
              <w:ind w:left="0" w:leftChars="0" w:right="0" w:rightChars="0" w:firstLine="0" w:firstLineChars="0"/>
              <w:jc w:val="both"/>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 xml:space="preserve">强制要求     </w:t>
            </w:r>
            <w:r>
              <w:rPr>
                <w:rFonts w:hint="eastAsia" w:ascii="仿宋_GB2312" w:hAnsi="仿宋_GB2312" w:eastAsia="仿宋_GB2312" w:cs="仿宋_GB2312"/>
                <w:kern w:val="0"/>
                <w:szCs w:val="21"/>
              </w:rPr>
              <w:sym w:font="Wingdings 2" w:char="00A3"/>
            </w:r>
          </w:p>
          <w:p>
            <w:pPr>
              <w:widowControl/>
              <w:spacing w:line="320" w:lineRule="exact"/>
              <w:ind w:left="0" w:leftChars="0" w:right="0" w:rightChars="0" w:firstLine="0" w:firstLineChars="0"/>
              <w:jc w:val="both"/>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 xml:space="preserve">评分因素     </w:t>
            </w:r>
            <w:r>
              <w:rPr>
                <w:rFonts w:hint="eastAsia" w:ascii="仿宋_GB2312" w:hAnsi="仿宋_GB2312" w:eastAsia="仿宋_GB2312" w:cs="仿宋_GB2312"/>
                <w:kern w:val="0"/>
                <w:szCs w:val="21"/>
              </w:rPr>
              <w:sym w:font="Wingdings" w:char="00FE"/>
            </w:r>
          </w:p>
          <w:p>
            <w:pPr>
              <w:widowControl/>
              <w:spacing w:line="320" w:lineRule="exact"/>
              <w:ind w:left="0" w:leftChars="0" w:right="0" w:rightChars="0" w:firstLine="0" w:firstLineChars="0"/>
              <w:jc w:val="both"/>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 xml:space="preserve">建议作为重要指标，适当增加分值权重         </w:t>
            </w:r>
            <w:r>
              <w:rPr>
                <w:rFonts w:hint="eastAsia" w:ascii="仿宋_GB2312" w:hAnsi="仿宋_GB2312" w:eastAsia="仿宋_GB2312" w:cs="仿宋_GB2312"/>
                <w:kern w:val="0"/>
                <w:szCs w:val="21"/>
              </w:rPr>
              <w:sym w:font="Wingdings" w:char="00A8"/>
            </w:r>
          </w:p>
        </w:tc>
        <w:tc>
          <w:tcPr>
            <w:tcW w:w="1263" w:type="pct"/>
            <w:vAlign w:val="center"/>
          </w:tcPr>
          <w:p>
            <w:pPr>
              <w:widowControl/>
              <w:spacing w:line="320" w:lineRule="exact"/>
              <w:ind w:left="0" w:leftChars="0" w:right="0" w:rightChars="0" w:firstLine="0" w:firstLineChars="0"/>
              <w:jc w:val="both"/>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系统中模型、材质、纹理等文件必须规范命名及分层、分类管理，命名中不可有中文名称，不能重名，易于识别，模型格式至少是.fbx或.3ds；均为3D效果，构建与真实物种1：1比例非拟人化、非漫画形象，仿真度高；单个max文件里如有多个物体，需将多个物体打组（单个物体无需打组），静态辅助物体需要attach成一个物体；材质球命名与物体名称一致，材质球的ID号和物体的ID号必须一致；模型制作既要保证逼真的质量又要控制好三角面的数量，单个模型的面数控制2000面以内，不能有多余面；模型的中心点在模型的中心位置。</w:t>
            </w:r>
          </w:p>
        </w:tc>
        <w:tc>
          <w:tcPr>
            <w:tcW w:w="493" w:type="pct"/>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模型制作符合要求，提供的功能齐全完整</w:t>
            </w:r>
          </w:p>
        </w:tc>
        <w:tc>
          <w:tcPr>
            <w:tcW w:w="451" w:type="pct"/>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供应商书面承诺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 w:type="pct"/>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3</w:t>
            </w:r>
          </w:p>
        </w:tc>
        <w:tc>
          <w:tcPr>
            <w:tcW w:w="353" w:type="pct"/>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脑基底核解剖与功能虚拟仿真实验</w:t>
            </w:r>
          </w:p>
        </w:tc>
        <w:tc>
          <w:tcPr>
            <w:tcW w:w="415" w:type="pct"/>
            <w:vMerge w:val="continue"/>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p>
        </w:tc>
        <w:tc>
          <w:tcPr>
            <w:tcW w:w="750" w:type="pct"/>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贴图材质</w:t>
            </w:r>
          </w:p>
        </w:tc>
        <w:tc>
          <w:tcPr>
            <w:tcW w:w="1031" w:type="pct"/>
            <w:vAlign w:val="center"/>
          </w:tcPr>
          <w:p>
            <w:pPr>
              <w:widowControl/>
              <w:spacing w:line="320" w:lineRule="exact"/>
              <w:ind w:left="0" w:leftChars="0" w:right="0" w:rightChars="0" w:firstLine="0" w:firstLineChars="0"/>
              <w:jc w:val="both"/>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 xml:space="preserve">强制要求     </w:t>
            </w:r>
            <w:r>
              <w:rPr>
                <w:rFonts w:hint="eastAsia" w:ascii="仿宋_GB2312" w:hAnsi="仿宋_GB2312" w:eastAsia="仿宋_GB2312" w:cs="仿宋_GB2312"/>
                <w:kern w:val="0"/>
                <w:szCs w:val="21"/>
              </w:rPr>
              <w:sym w:font="Wingdings 2" w:char="00A3"/>
            </w:r>
          </w:p>
          <w:p>
            <w:pPr>
              <w:widowControl/>
              <w:spacing w:line="320" w:lineRule="exact"/>
              <w:ind w:left="0" w:leftChars="0" w:right="0" w:rightChars="0" w:firstLine="0" w:firstLineChars="0"/>
              <w:jc w:val="both"/>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 xml:space="preserve">评分因素     </w:t>
            </w:r>
            <w:r>
              <w:rPr>
                <w:rFonts w:hint="eastAsia" w:ascii="仿宋_GB2312" w:hAnsi="仿宋_GB2312" w:eastAsia="仿宋_GB2312" w:cs="仿宋_GB2312"/>
                <w:kern w:val="0"/>
                <w:szCs w:val="21"/>
              </w:rPr>
              <w:sym w:font="Wingdings" w:char="00FE"/>
            </w:r>
          </w:p>
          <w:p>
            <w:pPr>
              <w:widowControl/>
              <w:spacing w:line="320" w:lineRule="exact"/>
              <w:ind w:left="0" w:leftChars="0" w:right="0" w:rightChars="0" w:firstLine="0" w:firstLineChars="0"/>
              <w:jc w:val="both"/>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 xml:space="preserve">建议作为重要指标，适当增加分值权重         </w:t>
            </w:r>
            <w:r>
              <w:rPr>
                <w:rFonts w:hint="eastAsia" w:ascii="仿宋_GB2312" w:hAnsi="仿宋_GB2312" w:eastAsia="仿宋_GB2312" w:cs="仿宋_GB2312"/>
                <w:kern w:val="0"/>
                <w:szCs w:val="21"/>
              </w:rPr>
              <w:sym w:font="Wingdings" w:char="00A8"/>
            </w:r>
          </w:p>
        </w:tc>
        <w:tc>
          <w:tcPr>
            <w:tcW w:w="1263" w:type="pct"/>
            <w:vAlign w:val="center"/>
          </w:tcPr>
          <w:p>
            <w:pPr>
              <w:widowControl/>
              <w:spacing w:line="320" w:lineRule="exact"/>
              <w:ind w:left="0" w:leftChars="0" w:right="0" w:rightChars="0" w:firstLine="0" w:firstLineChars="0"/>
              <w:jc w:val="both"/>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模型材质要进行烘焙处理，以生成带有阴影、高光、反射等效果的贴图；所有模型采用实物贴图，并做优化处理，要色彩协调，明暗和冷暖统一，贴图格式为.DDS，进行法线贴图处理来达到最佳的视觉效果；一个物件给一张贴图，颜色贴图不要放在凹凸通道里，一张贴图要占满整个画布，不能出现浪费贴图空间的情况，场景中连续贴图不能看到有明显的缝隙；UV展开要均匀舒展，避免拉伸，最大化提高UV的利用率；材质大小长宽像素为2的1.次方倍数，贴图大小最大不超过1024×1024；同种贴图必须使一个材质球。</w:t>
            </w:r>
          </w:p>
        </w:tc>
        <w:tc>
          <w:tcPr>
            <w:tcW w:w="493" w:type="pct"/>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贴图材质和处理符合指标要求，视觉效果要达到最佳</w:t>
            </w:r>
          </w:p>
        </w:tc>
        <w:tc>
          <w:tcPr>
            <w:tcW w:w="451" w:type="pct"/>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供应商书面承诺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 w:type="pct"/>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4</w:t>
            </w:r>
          </w:p>
        </w:tc>
        <w:tc>
          <w:tcPr>
            <w:tcW w:w="353" w:type="pct"/>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脑基底核解剖与功能虚拟仿真实验</w:t>
            </w:r>
          </w:p>
        </w:tc>
        <w:tc>
          <w:tcPr>
            <w:tcW w:w="415" w:type="pct"/>
            <w:vMerge w:val="continue"/>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p>
        </w:tc>
        <w:tc>
          <w:tcPr>
            <w:tcW w:w="750" w:type="pct"/>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粒子特效</w:t>
            </w:r>
          </w:p>
        </w:tc>
        <w:tc>
          <w:tcPr>
            <w:tcW w:w="1031" w:type="pct"/>
            <w:vAlign w:val="center"/>
          </w:tcPr>
          <w:p>
            <w:pPr>
              <w:widowControl/>
              <w:spacing w:line="320" w:lineRule="exact"/>
              <w:ind w:left="0" w:leftChars="0" w:right="0" w:rightChars="0" w:firstLine="0" w:firstLineChars="0"/>
              <w:jc w:val="both"/>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 xml:space="preserve">强制要求     </w:t>
            </w:r>
            <w:r>
              <w:rPr>
                <w:rFonts w:hint="eastAsia" w:ascii="仿宋_GB2312" w:hAnsi="仿宋_GB2312" w:eastAsia="仿宋_GB2312" w:cs="仿宋_GB2312"/>
                <w:kern w:val="0"/>
                <w:szCs w:val="21"/>
              </w:rPr>
              <w:sym w:font="Wingdings 2" w:char="00A3"/>
            </w:r>
          </w:p>
          <w:p>
            <w:pPr>
              <w:widowControl/>
              <w:spacing w:line="320" w:lineRule="exact"/>
              <w:ind w:left="0" w:leftChars="0" w:right="0" w:rightChars="0" w:firstLine="0" w:firstLineChars="0"/>
              <w:jc w:val="both"/>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 xml:space="preserve">评分因素     </w:t>
            </w:r>
            <w:r>
              <w:rPr>
                <w:rFonts w:hint="eastAsia" w:ascii="仿宋_GB2312" w:hAnsi="仿宋_GB2312" w:eastAsia="仿宋_GB2312" w:cs="仿宋_GB2312"/>
                <w:kern w:val="0"/>
                <w:szCs w:val="21"/>
              </w:rPr>
              <w:sym w:font="Wingdings" w:char="00FE"/>
            </w:r>
          </w:p>
          <w:p>
            <w:pPr>
              <w:widowControl/>
              <w:spacing w:line="320" w:lineRule="exact"/>
              <w:ind w:left="0" w:leftChars="0" w:right="0" w:rightChars="0" w:firstLine="0" w:firstLineChars="0"/>
              <w:jc w:val="both"/>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 xml:space="preserve">建议作为重要指标，适当增加分值权重         </w:t>
            </w:r>
            <w:r>
              <w:rPr>
                <w:rFonts w:hint="eastAsia" w:ascii="仿宋_GB2312" w:hAnsi="仿宋_GB2312" w:eastAsia="仿宋_GB2312" w:cs="仿宋_GB2312"/>
                <w:kern w:val="0"/>
                <w:szCs w:val="21"/>
              </w:rPr>
              <w:sym w:font="Wingdings" w:char="00A8"/>
            </w:r>
          </w:p>
        </w:tc>
        <w:tc>
          <w:tcPr>
            <w:tcW w:w="1263" w:type="pct"/>
            <w:vAlign w:val="center"/>
          </w:tcPr>
          <w:p>
            <w:pPr>
              <w:widowControl/>
              <w:spacing w:line="320" w:lineRule="exact"/>
              <w:ind w:left="0" w:leftChars="0" w:right="0" w:rightChars="0" w:firstLine="0" w:firstLineChars="0"/>
              <w:jc w:val="both"/>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能根据环境情况自动的发生变化，例如：水、烟雾、太阳光晕等环境效果，更加真实的模拟现实环境的效果。</w:t>
            </w:r>
          </w:p>
        </w:tc>
        <w:tc>
          <w:tcPr>
            <w:tcW w:w="493" w:type="pct"/>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提供的功能齐全完整、特效还原度高</w:t>
            </w:r>
          </w:p>
        </w:tc>
        <w:tc>
          <w:tcPr>
            <w:tcW w:w="451" w:type="pct"/>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供应商书面承诺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 w:type="pct"/>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5</w:t>
            </w:r>
          </w:p>
        </w:tc>
        <w:tc>
          <w:tcPr>
            <w:tcW w:w="353" w:type="pct"/>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脑基底核解剖与功能虚拟仿真实验</w:t>
            </w:r>
          </w:p>
        </w:tc>
        <w:tc>
          <w:tcPr>
            <w:tcW w:w="415" w:type="pct"/>
            <w:vMerge w:val="continue"/>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p>
        </w:tc>
        <w:tc>
          <w:tcPr>
            <w:tcW w:w="750" w:type="pct"/>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场景制作</w:t>
            </w:r>
          </w:p>
        </w:tc>
        <w:tc>
          <w:tcPr>
            <w:tcW w:w="1031" w:type="pct"/>
            <w:vAlign w:val="center"/>
          </w:tcPr>
          <w:p>
            <w:pPr>
              <w:widowControl/>
              <w:spacing w:line="320" w:lineRule="exact"/>
              <w:ind w:left="0" w:leftChars="0" w:right="0" w:rightChars="0" w:firstLine="0" w:firstLineChars="0"/>
              <w:jc w:val="both"/>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 xml:space="preserve">强制要求     </w:t>
            </w:r>
            <w:r>
              <w:rPr>
                <w:rFonts w:hint="eastAsia" w:ascii="仿宋_GB2312" w:hAnsi="仿宋_GB2312" w:eastAsia="仿宋_GB2312" w:cs="仿宋_GB2312"/>
                <w:kern w:val="0"/>
                <w:szCs w:val="21"/>
              </w:rPr>
              <w:sym w:font="Wingdings 2" w:char="00A3"/>
            </w:r>
          </w:p>
          <w:p>
            <w:pPr>
              <w:widowControl/>
              <w:spacing w:line="320" w:lineRule="exact"/>
              <w:ind w:left="0" w:leftChars="0" w:right="0" w:rightChars="0" w:firstLine="0" w:firstLineChars="0"/>
              <w:jc w:val="both"/>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 xml:space="preserve">评分因素     </w:t>
            </w:r>
            <w:r>
              <w:rPr>
                <w:rFonts w:hint="eastAsia" w:ascii="仿宋_GB2312" w:hAnsi="仿宋_GB2312" w:eastAsia="仿宋_GB2312" w:cs="仿宋_GB2312"/>
                <w:kern w:val="0"/>
                <w:szCs w:val="21"/>
              </w:rPr>
              <w:sym w:font="Wingdings" w:char="00FE"/>
            </w:r>
          </w:p>
          <w:p>
            <w:pPr>
              <w:widowControl/>
              <w:spacing w:line="320" w:lineRule="exact"/>
              <w:ind w:left="0" w:leftChars="0" w:right="0" w:rightChars="0" w:firstLine="0" w:firstLineChars="0"/>
              <w:jc w:val="both"/>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 xml:space="preserve">建议作为重要指标，适当增加分值权重         </w:t>
            </w:r>
            <w:r>
              <w:rPr>
                <w:rFonts w:hint="eastAsia" w:ascii="仿宋_GB2312" w:hAnsi="仿宋_GB2312" w:eastAsia="仿宋_GB2312" w:cs="仿宋_GB2312"/>
                <w:kern w:val="0"/>
                <w:szCs w:val="21"/>
              </w:rPr>
              <w:sym w:font="Wingdings" w:char="00A8"/>
            </w:r>
          </w:p>
        </w:tc>
        <w:tc>
          <w:tcPr>
            <w:tcW w:w="1263" w:type="pct"/>
            <w:vAlign w:val="center"/>
          </w:tcPr>
          <w:p>
            <w:pPr>
              <w:widowControl/>
              <w:spacing w:line="320" w:lineRule="exact"/>
              <w:ind w:left="0" w:leftChars="0" w:right="0" w:rightChars="0" w:firstLine="0" w:firstLineChars="0"/>
              <w:jc w:val="both"/>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无分辨率限制，能够支持1920×1200以上分辨率的三维视景，1：1实物大小显示，可对场景模型进行实时顶点优化和动态加载LOD设置调整，根据视觉效果调整优化比例，减少数据量，提高运行效率，帧速率25帧以上；</w:t>
            </w:r>
          </w:p>
        </w:tc>
        <w:tc>
          <w:tcPr>
            <w:tcW w:w="493" w:type="pct"/>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视觉效果越强越好</w:t>
            </w:r>
          </w:p>
        </w:tc>
        <w:tc>
          <w:tcPr>
            <w:tcW w:w="451" w:type="pct"/>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供应商书面承诺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40" w:type="pct"/>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6</w:t>
            </w:r>
          </w:p>
        </w:tc>
        <w:tc>
          <w:tcPr>
            <w:tcW w:w="353" w:type="pct"/>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脑基底核解剖与功能虚拟仿真实验</w:t>
            </w:r>
          </w:p>
        </w:tc>
        <w:tc>
          <w:tcPr>
            <w:tcW w:w="415" w:type="pct"/>
            <w:vMerge w:val="continue"/>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p>
        </w:tc>
        <w:tc>
          <w:tcPr>
            <w:tcW w:w="750" w:type="pct"/>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场景布置</w:t>
            </w:r>
          </w:p>
        </w:tc>
        <w:tc>
          <w:tcPr>
            <w:tcW w:w="1031" w:type="pct"/>
            <w:vAlign w:val="center"/>
          </w:tcPr>
          <w:p>
            <w:pPr>
              <w:widowControl/>
              <w:spacing w:line="320" w:lineRule="exact"/>
              <w:ind w:left="0" w:leftChars="0" w:right="0" w:rightChars="0" w:firstLine="0" w:firstLineChars="0"/>
              <w:jc w:val="both"/>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 xml:space="preserve">强制要求     </w:t>
            </w:r>
            <w:r>
              <w:rPr>
                <w:rFonts w:hint="eastAsia" w:ascii="仿宋_GB2312" w:hAnsi="仿宋_GB2312" w:eastAsia="仿宋_GB2312" w:cs="仿宋_GB2312"/>
                <w:kern w:val="0"/>
                <w:szCs w:val="21"/>
              </w:rPr>
              <w:sym w:font="Wingdings 2" w:char="00A3"/>
            </w:r>
          </w:p>
          <w:p>
            <w:pPr>
              <w:widowControl/>
              <w:spacing w:line="320" w:lineRule="exact"/>
              <w:ind w:left="0" w:leftChars="0" w:right="0" w:rightChars="0" w:firstLine="0" w:firstLineChars="0"/>
              <w:jc w:val="both"/>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 xml:space="preserve">评分因素     </w:t>
            </w:r>
            <w:r>
              <w:rPr>
                <w:rFonts w:hint="eastAsia" w:ascii="仿宋_GB2312" w:hAnsi="仿宋_GB2312" w:eastAsia="仿宋_GB2312" w:cs="仿宋_GB2312"/>
                <w:kern w:val="0"/>
                <w:szCs w:val="21"/>
              </w:rPr>
              <w:sym w:font="Wingdings" w:char="00FE"/>
            </w:r>
          </w:p>
          <w:p>
            <w:pPr>
              <w:widowControl/>
              <w:spacing w:line="320" w:lineRule="exact"/>
              <w:ind w:left="0" w:leftChars="0" w:right="0" w:rightChars="0" w:firstLine="0" w:firstLineChars="0"/>
              <w:jc w:val="both"/>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 xml:space="preserve">建议作为重要指标，适当增加分值权重         </w:t>
            </w:r>
            <w:r>
              <w:rPr>
                <w:rFonts w:hint="eastAsia" w:ascii="仿宋_GB2312" w:hAnsi="仿宋_GB2312" w:eastAsia="仿宋_GB2312" w:cs="仿宋_GB2312"/>
                <w:kern w:val="0"/>
                <w:szCs w:val="21"/>
              </w:rPr>
              <w:sym w:font="Wingdings" w:char="00A8"/>
            </w:r>
          </w:p>
        </w:tc>
        <w:tc>
          <w:tcPr>
            <w:tcW w:w="1263" w:type="pct"/>
            <w:vAlign w:val="center"/>
          </w:tcPr>
          <w:p>
            <w:pPr>
              <w:widowControl/>
              <w:spacing w:line="320" w:lineRule="exact"/>
              <w:ind w:left="0" w:leftChars="0" w:right="0" w:rightChars="0" w:firstLine="0" w:firstLineChars="0"/>
              <w:jc w:val="both"/>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基本物件在制作过程中严禁有缩放，有旋转的物体应保留旋转信息，不要镜像物体；整体场景及效果：紧紧围绕现实中的真实环境进行场景建设，真实的反应身临其境的效果。</w:t>
            </w:r>
          </w:p>
        </w:tc>
        <w:tc>
          <w:tcPr>
            <w:tcW w:w="493" w:type="pct"/>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提供的功能齐全完整，场景建设真实感越强越好</w:t>
            </w:r>
          </w:p>
        </w:tc>
        <w:tc>
          <w:tcPr>
            <w:tcW w:w="451" w:type="pct"/>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供应商书面承诺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 w:type="pct"/>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7</w:t>
            </w:r>
          </w:p>
        </w:tc>
        <w:tc>
          <w:tcPr>
            <w:tcW w:w="353" w:type="pct"/>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脑基底核解剖与功能虚拟仿真实验</w:t>
            </w:r>
          </w:p>
        </w:tc>
        <w:tc>
          <w:tcPr>
            <w:tcW w:w="415" w:type="pct"/>
            <w:vMerge w:val="continue"/>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p>
        </w:tc>
        <w:tc>
          <w:tcPr>
            <w:tcW w:w="750" w:type="pct"/>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声音</w:t>
            </w:r>
          </w:p>
        </w:tc>
        <w:tc>
          <w:tcPr>
            <w:tcW w:w="1031" w:type="pct"/>
            <w:vAlign w:val="center"/>
          </w:tcPr>
          <w:p>
            <w:pPr>
              <w:widowControl/>
              <w:spacing w:line="320" w:lineRule="exact"/>
              <w:ind w:left="0" w:leftChars="0" w:right="0" w:rightChars="0" w:firstLine="0" w:firstLineChars="0"/>
              <w:jc w:val="both"/>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 xml:space="preserve">强制要求     </w:t>
            </w:r>
            <w:r>
              <w:rPr>
                <w:rFonts w:hint="eastAsia" w:ascii="仿宋_GB2312" w:hAnsi="仿宋_GB2312" w:eastAsia="仿宋_GB2312" w:cs="仿宋_GB2312"/>
                <w:kern w:val="0"/>
                <w:szCs w:val="21"/>
              </w:rPr>
              <w:sym w:font="Wingdings 2" w:char="0052"/>
            </w:r>
          </w:p>
          <w:p>
            <w:pPr>
              <w:widowControl/>
              <w:spacing w:line="320" w:lineRule="exact"/>
              <w:ind w:left="0" w:leftChars="0" w:right="0" w:rightChars="0" w:firstLine="0" w:firstLineChars="0"/>
              <w:jc w:val="both"/>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 xml:space="preserve">评分因素     </w:t>
            </w:r>
            <w:r>
              <w:rPr>
                <w:rFonts w:hint="eastAsia" w:ascii="仿宋_GB2312" w:hAnsi="仿宋_GB2312" w:eastAsia="仿宋_GB2312" w:cs="仿宋_GB2312"/>
                <w:kern w:val="0"/>
                <w:szCs w:val="21"/>
              </w:rPr>
              <w:sym w:font="Wingdings" w:char="00A8"/>
            </w:r>
          </w:p>
          <w:p>
            <w:pPr>
              <w:widowControl/>
              <w:spacing w:line="320" w:lineRule="exact"/>
              <w:ind w:left="0" w:leftChars="0" w:right="0" w:rightChars="0" w:firstLine="0" w:firstLineChars="0"/>
              <w:jc w:val="both"/>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 xml:space="preserve">建议作为重要指标，适当增加分值权重         </w:t>
            </w:r>
            <w:r>
              <w:rPr>
                <w:rFonts w:hint="eastAsia" w:ascii="仿宋_GB2312" w:hAnsi="仿宋_GB2312" w:eastAsia="仿宋_GB2312" w:cs="仿宋_GB2312"/>
                <w:kern w:val="0"/>
                <w:szCs w:val="21"/>
              </w:rPr>
              <w:sym w:font="Wingdings" w:char="00A8"/>
            </w:r>
          </w:p>
        </w:tc>
        <w:tc>
          <w:tcPr>
            <w:tcW w:w="1263" w:type="pct"/>
            <w:vAlign w:val="center"/>
          </w:tcPr>
          <w:p>
            <w:pPr>
              <w:widowControl/>
              <w:spacing w:line="320" w:lineRule="exact"/>
              <w:ind w:left="0" w:leftChars="0" w:right="0" w:rightChars="0" w:firstLine="0" w:firstLineChars="0"/>
              <w:jc w:val="both"/>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场景音效、声音解说要求制作逼真，采用专业的普通话进行配音；</w:t>
            </w:r>
          </w:p>
        </w:tc>
        <w:tc>
          <w:tcPr>
            <w:tcW w:w="493" w:type="pct"/>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声音越逼真越好</w:t>
            </w:r>
          </w:p>
        </w:tc>
        <w:tc>
          <w:tcPr>
            <w:tcW w:w="451" w:type="pct"/>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供应商书面承诺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 w:type="pct"/>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8</w:t>
            </w:r>
          </w:p>
        </w:tc>
        <w:tc>
          <w:tcPr>
            <w:tcW w:w="353" w:type="pct"/>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脑基底核解剖与功能虚拟仿真实验</w:t>
            </w:r>
          </w:p>
        </w:tc>
        <w:tc>
          <w:tcPr>
            <w:tcW w:w="415" w:type="pct"/>
            <w:vMerge w:val="continue"/>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p>
        </w:tc>
        <w:tc>
          <w:tcPr>
            <w:tcW w:w="750" w:type="pct"/>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视频</w:t>
            </w:r>
          </w:p>
        </w:tc>
        <w:tc>
          <w:tcPr>
            <w:tcW w:w="1031" w:type="pct"/>
            <w:vAlign w:val="center"/>
          </w:tcPr>
          <w:p>
            <w:pPr>
              <w:widowControl/>
              <w:spacing w:line="320" w:lineRule="exact"/>
              <w:ind w:left="0" w:leftChars="0" w:right="0" w:rightChars="0" w:firstLine="0" w:firstLineChars="0"/>
              <w:jc w:val="both"/>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 xml:space="preserve">强制要求     </w:t>
            </w:r>
            <w:r>
              <w:rPr>
                <w:rFonts w:hint="eastAsia" w:ascii="仿宋_GB2312" w:hAnsi="仿宋_GB2312" w:eastAsia="仿宋_GB2312" w:cs="仿宋_GB2312"/>
                <w:kern w:val="0"/>
                <w:szCs w:val="21"/>
              </w:rPr>
              <w:sym w:font="Wingdings 2" w:char="00A3"/>
            </w:r>
          </w:p>
          <w:p>
            <w:pPr>
              <w:widowControl/>
              <w:spacing w:line="320" w:lineRule="exact"/>
              <w:ind w:left="0" w:leftChars="0" w:right="0" w:rightChars="0" w:firstLine="0" w:firstLineChars="0"/>
              <w:jc w:val="both"/>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 xml:space="preserve">评分因素     </w:t>
            </w:r>
            <w:r>
              <w:rPr>
                <w:rFonts w:hint="eastAsia" w:ascii="仿宋_GB2312" w:hAnsi="仿宋_GB2312" w:eastAsia="仿宋_GB2312" w:cs="仿宋_GB2312"/>
                <w:kern w:val="0"/>
                <w:szCs w:val="21"/>
              </w:rPr>
              <w:sym w:font="Wingdings" w:char="00FE"/>
            </w:r>
          </w:p>
          <w:p>
            <w:pPr>
              <w:widowControl/>
              <w:spacing w:line="320" w:lineRule="exact"/>
              <w:ind w:left="0" w:leftChars="0" w:right="0" w:rightChars="0" w:firstLine="0" w:firstLineChars="0"/>
              <w:jc w:val="both"/>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 xml:space="preserve">建议作为重要指标，适当增加分值权重         </w:t>
            </w:r>
            <w:r>
              <w:rPr>
                <w:rFonts w:hint="eastAsia" w:ascii="仿宋_GB2312" w:hAnsi="仿宋_GB2312" w:eastAsia="仿宋_GB2312" w:cs="仿宋_GB2312"/>
                <w:kern w:val="0"/>
                <w:szCs w:val="21"/>
              </w:rPr>
              <w:sym w:font="Wingdings" w:char="00A8"/>
            </w:r>
          </w:p>
        </w:tc>
        <w:tc>
          <w:tcPr>
            <w:tcW w:w="1263" w:type="pct"/>
            <w:vAlign w:val="center"/>
          </w:tcPr>
          <w:p>
            <w:pPr>
              <w:widowControl/>
              <w:spacing w:line="320" w:lineRule="exact"/>
              <w:ind w:left="0" w:leftChars="0" w:right="0" w:rightChars="0" w:firstLine="0" w:firstLineChars="0"/>
              <w:jc w:val="both"/>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在场景对象上可嵌入外部视频文件，视频文件格式支持不少于AVI、WMV格式。要实现视频流的预读取功能，以保证视频播放流畅；</w:t>
            </w:r>
          </w:p>
        </w:tc>
        <w:tc>
          <w:tcPr>
            <w:tcW w:w="493" w:type="pct"/>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提供的功能齐全完整，支持的视频格式越多越好</w:t>
            </w:r>
          </w:p>
        </w:tc>
        <w:tc>
          <w:tcPr>
            <w:tcW w:w="451" w:type="pct"/>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供应商书面承诺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 w:type="pct"/>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9</w:t>
            </w:r>
          </w:p>
        </w:tc>
        <w:tc>
          <w:tcPr>
            <w:tcW w:w="353" w:type="pct"/>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脑基底核解剖与功能虚拟仿真实验</w:t>
            </w:r>
          </w:p>
        </w:tc>
        <w:tc>
          <w:tcPr>
            <w:tcW w:w="415" w:type="pct"/>
            <w:vMerge w:val="continue"/>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p>
        </w:tc>
        <w:tc>
          <w:tcPr>
            <w:tcW w:w="750" w:type="pct"/>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UI</w:t>
            </w:r>
          </w:p>
        </w:tc>
        <w:tc>
          <w:tcPr>
            <w:tcW w:w="1031" w:type="pct"/>
            <w:vAlign w:val="center"/>
          </w:tcPr>
          <w:p>
            <w:pPr>
              <w:widowControl/>
              <w:spacing w:line="320" w:lineRule="exact"/>
              <w:ind w:left="0" w:leftChars="0" w:right="0" w:rightChars="0" w:firstLine="0" w:firstLineChars="0"/>
              <w:jc w:val="both"/>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 xml:space="preserve">强制要求     </w:t>
            </w:r>
            <w:r>
              <w:rPr>
                <w:rFonts w:hint="eastAsia" w:ascii="仿宋_GB2312" w:hAnsi="仿宋_GB2312" w:eastAsia="仿宋_GB2312" w:cs="仿宋_GB2312"/>
                <w:kern w:val="0"/>
                <w:szCs w:val="21"/>
              </w:rPr>
              <w:sym w:font="Wingdings 2" w:char="00A3"/>
            </w:r>
          </w:p>
          <w:p>
            <w:pPr>
              <w:widowControl/>
              <w:spacing w:line="320" w:lineRule="exact"/>
              <w:ind w:left="0" w:leftChars="0" w:right="0" w:rightChars="0" w:firstLine="0" w:firstLineChars="0"/>
              <w:jc w:val="both"/>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 xml:space="preserve">评分因素     </w:t>
            </w:r>
            <w:r>
              <w:rPr>
                <w:rFonts w:hint="eastAsia" w:ascii="仿宋_GB2312" w:hAnsi="仿宋_GB2312" w:eastAsia="仿宋_GB2312" w:cs="仿宋_GB2312"/>
                <w:kern w:val="0"/>
                <w:szCs w:val="21"/>
              </w:rPr>
              <w:sym w:font="Wingdings" w:char="00FE"/>
            </w:r>
          </w:p>
          <w:p>
            <w:pPr>
              <w:widowControl/>
              <w:spacing w:line="320" w:lineRule="exact"/>
              <w:ind w:left="0" w:leftChars="0" w:right="0" w:rightChars="0" w:firstLine="0" w:firstLineChars="0"/>
              <w:jc w:val="both"/>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 xml:space="preserve">建议作为重要指标，适当增加分值权重         </w:t>
            </w:r>
            <w:r>
              <w:rPr>
                <w:rFonts w:hint="eastAsia" w:ascii="仿宋_GB2312" w:hAnsi="仿宋_GB2312" w:eastAsia="仿宋_GB2312" w:cs="仿宋_GB2312"/>
                <w:kern w:val="0"/>
                <w:szCs w:val="21"/>
              </w:rPr>
              <w:sym w:font="Wingdings" w:char="00A8"/>
            </w:r>
          </w:p>
        </w:tc>
        <w:tc>
          <w:tcPr>
            <w:tcW w:w="1263" w:type="pct"/>
            <w:vAlign w:val="center"/>
          </w:tcPr>
          <w:p>
            <w:pPr>
              <w:widowControl/>
              <w:spacing w:line="320" w:lineRule="exact"/>
              <w:ind w:left="0" w:leftChars="0" w:right="0" w:rightChars="0" w:firstLine="0" w:firstLineChars="0"/>
              <w:jc w:val="both"/>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系统内嵌提醒帮助机制，在各个子界面中，采用场景对象方式，设计文本提示框等信息，系统设置帮助文档，浮动帮助文字。以3D形式进行场景展示时要求过程流畅，平滑连续，响应及时。可以自由拖拽场景中各种物体，仪器，与需要交互的物体之间展开交互，同时也可以点击关键部位查看提示信息。</w:t>
            </w:r>
          </w:p>
        </w:tc>
        <w:tc>
          <w:tcPr>
            <w:tcW w:w="493" w:type="pct"/>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UI界面设计合理，满足虚拟仿真实验管理和操作的需要，界面风格统一</w:t>
            </w:r>
          </w:p>
        </w:tc>
        <w:tc>
          <w:tcPr>
            <w:tcW w:w="451" w:type="pct"/>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供应商书面承诺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 w:type="pct"/>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10</w:t>
            </w:r>
          </w:p>
        </w:tc>
        <w:tc>
          <w:tcPr>
            <w:tcW w:w="353" w:type="pct"/>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脑基底核解剖与功能虚拟仿真实验</w:t>
            </w:r>
          </w:p>
        </w:tc>
        <w:tc>
          <w:tcPr>
            <w:tcW w:w="415" w:type="pct"/>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交互式开发技术</w:t>
            </w:r>
          </w:p>
        </w:tc>
        <w:tc>
          <w:tcPr>
            <w:tcW w:w="750" w:type="pct"/>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w:t>
            </w:r>
          </w:p>
        </w:tc>
        <w:tc>
          <w:tcPr>
            <w:tcW w:w="1031" w:type="pct"/>
            <w:vAlign w:val="center"/>
          </w:tcPr>
          <w:p>
            <w:pPr>
              <w:widowControl/>
              <w:spacing w:line="320" w:lineRule="exact"/>
              <w:ind w:left="0" w:leftChars="0" w:right="0" w:rightChars="0" w:firstLine="0" w:firstLineChars="0"/>
              <w:jc w:val="both"/>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 xml:space="preserve">强制要求     </w:t>
            </w:r>
            <w:r>
              <w:rPr>
                <w:rFonts w:hint="eastAsia" w:ascii="仿宋_GB2312" w:hAnsi="仿宋_GB2312" w:eastAsia="仿宋_GB2312" w:cs="仿宋_GB2312"/>
                <w:kern w:val="0"/>
                <w:szCs w:val="21"/>
              </w:rPr>
              <w:sym w:font="Wingdings 2" w:char="00A3"/>
            </w:r>
          </w:p>
          <w:p>
            <w:pPr>
              <w:widowControl/>
              <w:spacing w:line="320" w:lineRule="exact"/>
              <w:ind w:left="0" w:leftChars="0" w:right="0" w:rightChars="0" w:firstLine="0" w:firstLineChars="0"/>
              <w:jc w:val="both"/>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 xml:space="preserve">评分因素     </w:t>
            </w:r>
            <w:r>
              <w:rPr>
                <w:rFonts w:hint="eastAsia" w:ascii="仿宋_GB2312" w:hAnsi="仿宋_GB2312" w:eastAsia="仿宋_GB2312" w:cs="仿宋_GB2312"/>
                <w:kern w:val="0"/>
                <w:szCs w:val="21"/>
              </w:rPr>
              <w:sym w:font="Wingdings" w:char="00FE"/>
            </w:r>
          </w:p>
          <w:p>
            <w:pPr>
              <w:widowControl/>
              <w:spacing w:line="320" w:lineRule="exact"/>
              <w:ind w:left="0" w:leftChars="0" w:right="0" w:rightChars="0" w:firstLine="0" w:firstLineChars="0"/>
              <w:jc w:val="both"/>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 xml:space="preserve">建议作为重要指标，适当增加分值权重         </w:t>
            </w:r>
            <w:r>
              <w:rPr>
                <w:rFonts w:hint="eastAsia" w:ascii="仿宋_GB2312" w:hAnsi="仿宋_GB2312" w:eastAsia="仿宋_GB2312" w:cs="仿宋_GB2312"/>
                <w:kern w:val="0"/>
                <w:szCs w:val="21"/>
              </w:rPr>
              <w:sym w:font="Wingdings" w:char="00A8"/>
            </w:r>
          </w:p>
        </w:tc>
        <w:tc>
          <w:tcPr>
            <w:tcW w:w="1263" w:type="pct"/>
            <w:vAlign w:val="center"/>
          </w:tcPr>
          <w:p>
            <w:pPr>
              <w:widowControl/>
              <w:spacing w:line="320" w:lineRule="exact"/>
              <w:ind w:left="0" w:leftChars="0" w:right="0" w:rightChars="0" w:firstLine="0" w:firstLineChars="0"/>
              <w:jc w:val="both"/>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采用主流虚拟引擎工具制作，如Unity3d（版本至少5.x或以上）。提供第一人称控制方式。在场景中可以通过操作手势或语音命令进行控制或切换。场景的各种控制方式采用头盔来控制，移动、旋转要符合逻辑且运行流畅。采用三维虚拟现实技术并结合力反馈技术实现虚实结合的教学效果，将传统模拟人无法展现的一些内部器官，通过混合现实模拟技术能够完全将身体内部的动态运动过程通过三维透视和剖视以任何角度实时的表达出来。实训过程能够模拟完成设定的实训任务，可自由操作控制虚拟模型，具有多参数可调、非线性实时操作特性，具有内容的自主可选择性，在适配AR头显上能够流畅运行。学习模式有考核记录功能，包括了三维交互考核和理论试题考核。</w:t>
            </w:r>
          </w:p>
        </w:tc>
        <w:tc>
          <w:tcPr>
            <w:tcW w:w="493" w:type="pct"/>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提供的功能齐全完整、交互性强</w:t>
            </w:r>
          </w:p>
        </w:tc>
        <w:tc>
          <w:tcPr>
            <w:tcW w:w="451" w:type="pct"/>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供应商书面承诺</w:t>
            </w:r>
          </w:p>
        </w:tc>
      </w:tr>
    </w:tbl>
    <w:p>
      <w:pPr>
        <w:pStyle w:val="23"/>
        <w:ind w:firstLine="640"/>
        <w:rPr>
          <w:sz w:val="32"/>
          <w:szCs w:val="32"/>
        </w:rPr>
      </w:pPr>
      <w:r>
        <w:rPr>
          <w:rFonts w:hint="eastAsia"/>
          <w:sz w:val="32"/>
          <w:szCs w:val="32"/>
        </w:rPr>
        <w:t>3.3.2.2 基于AR技术的脑外伤基础与临床整合式虚拟仿真实验（定制开发）1套：包括但不限于脑外伤发生的场景、过程；脑外伤发生后脑部形态学、病理生理学改变的基础医学内容；伤员临床表现、生命体征数值、病史资料、体格检查、影像学检查等临床诊断学内容等。具体技术参数要求如下：</w:t>
      </w:r>
    </w:p>
    <w:tbl>
      <w:tblPr>
        <w:tblStyle w:val="11"/>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7"/>
        <w:gridCol w:w="636"/>
        <w:gridCol w:w="733"/>
        <w:gridCol w:w="977"/>
        <w:gridCol w:w="1888"/>
        <w:gridCol w:w="2539"/>
        <w:gridCol w:w="1006"/>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33" w:type="pct"/>
            <w:vAlign w:val="center"/>
          </w:tcPr>
          <w:p>
            <w:pPr>
              <w:widowControl/>
              <w:spacing w:line="320" w:lineRule="exact"/>
              <w:ind w:left="0" w:leftChars="0" w:right="0" w:rightChars="0" w:firstLine="0" w:firstLineChars="0"/>
              <w:jc w:val="center"/>
              <w:rPr>
                <w:rFonts w:hint="eastAsia" w:ascii="仿宋_GB2312" w:hAnsi="仿宋_GB2312" w:eastAsia="仿宋_GB2312" w:cs="仿宋_GB2312"/>
                <w:b/>
                <w:bCs/>
                <w:kern w:val="0"/>
                <w:szCs w:val="21"/>
              </w:rPr>
            </w:pPr>
            <w:r>
              <w:rPr>
                <w:rFonts w:hint="eastAsia" w:ascii="仿宋_GB2312" w:hAnsi="仿宋_GB2312" w:eastAsia="仿宋_GB2312" w:cs="仿宋_GB2312"/>
                <w:b/>
                <w:bCs/>
                <w:kern w:val="0"/>
                <w:szCs w:val="21"/>
              </w:rPr>
              <w:t>序号</w:t>
            </w:r>
          </w:p>
        </w:tc>
        <w:tc>
          <w:tcPr>
            <w:tcW w:w="346" w:type="pct"/>
            <w:vAlign w:val="center"/>
          </w:tcPr>
          <w:p>
            <w:pPr>
              <w:widowControl/>
              <w:spacing w:line="320" w:lineRule="exact"/>
              <w:ind w:left="0" w:leftChars="0" w:right="0" w:rightChars="0" w:firstLine="0" w:firstLineChars="0"/>
              <w:jc w:val="center"/>
              <w:rPr>
                <w:rFonts w:hint="eastAsia" w:ascii="仿宋_GB2312" w:hAnsi="仿宋_GB2312" w:eastAsia="仿宋_GB2312" w:cs="仿宋_GB2312"/>
                <w:b/>
                <w:bCs/>
                <w:kern w:val="0"/>
                <w:szCs w:val="21"/>
              </w:rPr>
            </w:pPr>
            <w:r>
              <w:rPr>
                <w:rFonts w:hint="eastAsia" w:ascii="仿宋_GB2312" w:hAnsi="仿宋_GB2312" w:eastAsia="仿宋_GB2312" w:cs="仿宋_GB2312"/>
                <w:b/>
                <w:bCs/>
                <w:kern w:val="0"/>
                <w:szCs w:val="21"/>
              </w:rPr>
              <w:t>分类</w:t>
            </w:r>
          </w:p>
        </w:tc>
        <w:tc>
          <w:tcPr>
            <w:tcW w:w="406" w:type="pct"/>
            <w:vAlign w:val="center"/>
          </w:tcPr>
          <w:p>
            <w:pPr>
              <w:widowControl/>
              <w:spacing w:line="320" w:lineRule="exact"/>
              <w:ind w:left="0" w:leftChars="0" w:right="0" w:rightChars="0" w:firstLine="0" w:firstLineChars="0"/>
              <w:jc w:val="center"/>
              <w:rPr>
                <w:rFonts w:hint="eastAsia" w:ascii="仿宋_GB2312" w:hAnsi="仿宋_GB2312" w:eastAsia="仿宋_GB2312" w:cs="仿宋_GB2312"/>
                <w:b/>
                <w:bCs/>
                <w:kern w:val="0"/>
                <w:szCs w:val="21"/>
              </w:rPr>
            </w:pPr>
            <w:r>
              <w:rPr>
                <w:rFonts w:hint="eastAsia" w:ascii="仿宋_GB2312" w:hAnsi="仿宋_GB2312" w:eastAsia="仿宋_GB2312" w:cs="仿宋_GB2312"/>
                <w:b/>
                <w:bCs/>
                <w:kern w:val="0"/>
                <w:szCs w:val="21"/>
              </w:rPr>
              <w:t>一级</w:t>
            </w:r>
          </w:p>
          <w:p>
            <w:pPr>
              <w:widowControl/>
              <w:spacing w:line="320" w:lineRule="exact"/>
              <w:ind w:left="0" w:leftChars="0" w:right="0" w:rightChars="0" w:firstLine="0" w:firstLineChars="0"/>
              <w:jc w:val="center"/>
              <w:rPr>
                <w:rFonts w:hint="eastAsia" w:ascii="仿宋_GB2312" w:hAnsi="仿宋_GB2312" w:eastAsia="仿宋_GB2312" w:cs="仿宋_GB2312"/>
                <w:b/>
                <w:bCs/>
                <w:kern w:val="0"/>
                <w:szCs w:val="21"/>
              </w:rPr>
            </w:pPr>
            <w:r>
              <w:rPr>
                <w:rFonts w:hint="eastAsia" w:ascii="仿宋_GB2312" w:hAnsi="仿宋_GB2312" w:eastAsia="仿宋_GB2312" w:cs="仿宋_GB2312"/>
                <w:b/>
                <w:bCs/>
                <w:kern w:val="0"/>
                <w:szCs w:val="21"/>
              </w:rPr>
              <w:t>指标</w:t>
            </w:r>
          </w:p>
        </w:tc>
        <w:tc>
          <w:tcPr>
            <w:tcW w:w="541" w:type="pct"/>
            <w:vAlign w:val="center"/>
          </w:tcPr>
          <w:p>
            <w:pPr>
              <w:widowControl/>
              <w:spacing w:line="320" w:lineRule="exact"/>
              <w:ind w:left="0" w:leftChars="0" w:right="0" w:rightChars="0" w:firstLine="0" w:firstLineChars="0"/>
              <w:jc w:val="center"/>
              <w:rPr>
                <w:rFonts w:hint="eastAsia" w:ascii="仿宋_GB2312" w:hAnsi="仿宋_GB2312" w:eastAsia="仿宋_GB2312" w:cs="仿宋_GB2312"/>
                <w:b/>
                <w:bCs/>
                <w:kern w:val="0"/>
                <w:szCs w:val="21"/>
              </w:rPr>
            </w:pPr>
            <w:r>
              <w:rPr>
                <w:rFonts w:hint="eastAsia" w:ascii="仿宋_GB2312" w:hAnsi="仿宋_GB2312" w:eastAsia="仿宋_GB2312" w:cs="仿宋_GB2312"/>
                <w:b/>
                <w:bCs/>
                <w:kern w:val="0"/>
                <w:szCs w:val="21"/>
              </w:rPr>
              <w:t>二级</w:t>
            </w:r>
          </w:p>
          <w:p>
            <w:pPr>
              <w:widowControl/>
              <w:spacing w:line="320" w:lineRule="exact"/>
              <w:ind w:left="0" w:leftChars="0" w:right="0" w:rightChars="0" w:firstLine="0" w:firstLineChars="0"/>
              <w:jc w:val="center"/>
              <w:rPr>
                <w:rFonts w:hint="eastAsia" w:ascii="仿宋_GB2312" w:hAnsi="仿宋_GB2312" w:eastAsia="仿宋_GB2312" w:cs="仿宋_GB2312"/>
                <w:b/>
                <w:bCs/>
                <w:kern w:val="0"/>
                <w:szCs w:val="21"/>
              </w:rPr>
            </w:pPr>
            <w:r>
              <w:rPr>
                <w:rFonts w:hint="eastAsia" w:ascii="仿宋_GB2312" w:hAnsi="仿宋_GB2312" w:eastAsia="仿宋_GB2312" w:cs="仿宋_GB2312"/>
                <w:b/>
                <w:bCs/>
                <w:kern w:val="0"/>
                <w:szCs w:val="21"/>
              </w:rPr>
              <w:t>指标</w:t>
            </w:r>
          </w:p>
        </w:tc>
        <w:tc>
          <w:tcPr>
            <w:tcW w:w="1043" w:type="pct"/>
            <w:vAlign w:val="center"/>
          </w:tcPr>
          <w:p>
            <w:pPr>
              <w:widowControl/>
              <w:spacing w:line="320" w:lineRule="exact"/>
              <w:ind w:left="0" w:leftChars="0" w:right="0" w:rightChars="0" w:firstLine="0" w:firstLineChars="0"/>
              <w:jc w:val="center"/>
              <w:rPr>
                <w:rFonts w:hint="eastAsia" w:ascii="仿宋_GB2312" w:hAnsi="仿宋_GB2312" w:eastAsia="仿宋_GB2312" w:cs="仿宋_GB2312"/>
                <w:b/>
                <w:bCs/>
                <w:kern w:val="0"/>
                <w:szCs w:val="21"/>
              </w:rPr>
            </w:pPr>
            <w:r>
              <w:rPr>
                <w:rFonts w:hint="eastAsia" w:ascii="仿宋_GB2312" w:hAnsi="仿宋_GB2312" w:eastAsia="仿宋_GB2312" w:cs="仿宋_GB2312"/>
                <w:b/>
                <w:bCs/>
                <w:kern w:val="0"/>
                <w:szCs w:val="21"/>
              </w:rPr>
              <w:t>是否作为强制要求及评分因素等</w:t>
            </w:r>
          </w:p>
        </w:tc>
        <w:tc>
          <w:tcPr>
            <w:tcW w:w="1402" w:type="pct"/>
            <w:vAlign w:val="center"/>
          </w:tcPr>
          <w:p>
            <w:pPr>
              <w:widowControl/>
              <w:spacing w:line="320" w:lineRule="exact"/>
              <w:ind w:left="0" w:leftChars="0" w:right="0" w:rightChars="0" w:firstLine="0" w:firstLineChars="0"/>
              <w:jc w:val="center"/>
              <w:rPr>
                <w:rFonts w:hint="eastAsia" w:ascii="仿宋_GB2312" w:hAnsi="仿宋_GB2312" w:eastAsia="仿宋_GB2312" w:cs="仿宋_GB2312"/>
                <w:b/>
                <w:bCs/>
                <w:kern w:val="0"/>
                <w:szCs w:val="21"/>
              </w:rPr>
            </w:pPr>
            <w:r>
              <w:rPr>
                <w:rFonts w:hint="eastAsia" w:ascii="仿宋_GB2312" w:hAnsi="仿宋_GB2312" w:eastAsia="仿宋_GB2312" w:cs="仿宋_GB2312"/>
                <w:b/>
                <w:bCs/>
                <w:kern w:val="0"/>
                <w:szCs w:val="21"/>
              </w:rPr>
              <w:t>指标要求</w:t>
            </w:r>
          </w:p>
        </w:tc>
        <w:tc>
          <w:tcPr>
            <w:tcW w:w="556" w:type="pct"/>
            <w:vAlign w:val="center"/>
          </w:tcPr>
          <w:p>
            <w:pPr>
              <w:widowControl/>
              <w:spacing w:line="320" w:lineRule="exact"/>
              <w:ind w:left="0" w:leftChars="0" w:right="0" w:rightChars="0" w:firstLine="0" w:firstLineChars="0"/>
              <w:jc w:val="center"/>
              <w:rPr>
                <w:rFonts w:hint="eastAsia" w:ascii="仿宋_GB2312" w:hAnsi="仿宋_GB2312" w:eastAsia="仿宋_GB2312" w:cs="仿宋_GB2312"/>
                <w:b/>
                <w:bCs/>
                <w:kern w:val="0"/>
                <w:szCs w:val="21"/>
              </w:rPr>
            </w:pPr>
            <w:r>
              <w:rPr>
                <w:rFonts w:hint="eastAsia" w:ascii="仿宋_GB2312" w:hAnsi="仿宋_GB2312" w:eastAsia="仿宋_GB2312" w:cs="仿宋_GB2312"/>
                <w:b/>
                <w:bCs/>
                <w:kern w:val="0"/>
                <w:szCs w:val="21"/>
              </w:rPr>
              <w:t>指标使用说明</w:t>
            </w:r>
          </w:p>
        </w:tc>
        <w:tc>
          <w:tcPr>
            <w:tcW w:w="470" w:type="pct"/>
            <w:vAlign w:val="center"/>
          </w:tcPr>
          <w:p>
            <w:pPr>
              <w:widowControl/>
              <w:spacing w:line="320" w:lineRule="exact"/>
              <w:ind w:left="0" w:leftChars="0" w:right="0" w:rightChars="0" w:firstLine="0" w:firstLineChars="0"/>
              <w:jc w:val="center"/>
              <w:rPr>
                <w:rFonts w:hint="eastAsia" w:ascii="仿宋_GB2312" w:hAnsi="仿宋_GB2312" w:eastAsia="仿宋_GB2312" w:cs="仿宋_GB2312"/>
                <w:b/>
                <w:bCs/>
                <w:kern w:val="0"/>
                <w:szCs w:val="21"/>
              </w:rPr>
            </w:pPr>
            <w:r>
              <w:rPr>
                <w:rFonts w:hint="eastAsia" w:ascii="仿宋_GB2312" w:hAnsi="仿宋_GB2312" w:eastAsia="仿宋_GB2312" w:cs="仿宋_GB2312"/>
                <w:b/>
                <w:bCs/>
                <w:kern w:val="0"/>
                <w:szCs w:val="21"/>
              </w:rPr>
              <w:t>证明方式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 w:type="pct"/>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1</w:t>
            </w:r>
          </w:p>
        </w:tc>
        <w:tc>
          <w:tcPr>
            <w:tcW w:w="346" w:type="pct"/>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基于AR技术的脑外伤基础与临床整合式虚拟仿真实验（定制开发）</w:t>
            </w:r>
          </w:p>
        </w:tc>
        <w:tc>
          <w:tcPr>
            <w:tcW w:w="406" w:type="pct"/>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w:t>
            </w:r>
          </w:p>
        </w:tc>
        <w:tc>
          <w:tcPr>
            <w:tcW w:w="541" w:type="pct"/>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w:t>
            </w:r>
          </w:p>
        </w:tc>
        <w:tc>
          <w:tcPr>
            <w:tcW w:w="1043" w:type="pct"/>
            <w:vAlign w:val="center"/>
          </w:tcPr>
          <w:p>
            <w:pPr>
              <w:widowControl/>
              <w:spacing w:line="320" w:lineRule="exact"/>
              <w:ind w:left="0" w:leftChars="0" w:right="0" w:rightChars="0" w:firstLine="0" w:firstLineChars="0"/>
              <w:jc w:val="both"/>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 xml:space="preserve">强制要求     </w:t>
            </w:r>
            <w:r>
              <w:rPr>
                <w:rFonts w:hint="eastAsia" w:ascii="仿宋_GB2312" w:hAnsi="仿宋_GB2312" w:eastAsia="仿宋_GB2312" w:cs="仿宋_GB2312"/>
                <w:kern w:val="0"/>
                <w:szCs w:val="21"/>
              </w:rPr>
              <w:sym w:font="Wingdings 2" w:char="0052"/>
            </w:r>
          </w:p>
          <w:p>
            <w:pPr>
              <w:widowControl/>
              <w:spacing w:line="320" w:lineRule="exact"/>
              <w:ind w:left="0" w:leftChars="0" w:right="0" w:rightChars="0" w:firstLine="0" w:firstLineChars="0"/>
              <w:jc w:val="both"/>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 xml:space="preserve">评分因素     </w:t>
            </w:r>
            <w:r>
              <w:rPr>
                <w:rFonts w:hint="eastAsia" w:ascii="仿宋_GB2312" w:hAnsi="仿宋_GB2312" w:eastAsia="仿宋_GB2312" w:cs="仿宋_GB2312"/>
                <w:kern w:val="0"/>
                <w:szCs w:val="21"/>
              </w:rPr>
              <w:sym w:font="Wingdings" w:char="00A8"/>
            </w:r>
          </w:p>
          <w:p>
            <w:pPr>
              <w:widowControl/>
              <w:spacing w:line="320" w:lineRule="exact"/>
              <w:ind w:left="0" w:leftChars="0" w:right="0" w:rightChars="0" w:firstLine="0" w:firstLineChars="0"/>
              <w:jc w:val="both"/>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 xml:space="preserve">建议作为重要指标，适当增加分值权重         </w:t>
            </w:r>
            <w:r>
              <w:rPr>
                <w:rFonts w:hint="eastAsia" w:ascii="仿宋_GB2312" w:hAnsi="仿宋_GB2312" w:eastAsia="仿宋_GB2312" w:cs="仿宋_GB2312"/>
                <w:kern w:val="0"/>
                <w:szCs w:val="21"/>
              </w:rPr>
              <w:sym w:font="Wingdings" w:char="00A8"/>
            </w:r>
          </w:p>
        </w:tc>
        <w:tc>
          <w:tcPr>
            <w:tcW w:w="1402" w:type="pct"/>
            <w:vAlign w:val="center"/>
          </w:tcPr>
          <w:p>
            <w:pPr>
              <w:widowControl/>
              <w:spacing w:line="320" w:lineRule="exact"/>
              <w:ind w:left="0" w:leftChars="0" w:right="0" w:rightChars="0" w:firstLine="0" w:firstLineChars="0"/>
              <w:jc w:val="both"/>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要求能够沉浸式模拟观察伤员表情、皮肤表现、外伤情况等表现，能够展示出伤员眼部水肿、意识模糊、外伤及出血表现；能够查看脑外伤时脑部循环表现，包括缺血性缺氧期、淤血性缺氧期、微循环衰竭期时微循环表现，设计3种以上微循环中解剖结构的呈现；能够以解剖形式展示脑外伤后，脑部的形态学改变，以动态方式呈现神经传导受损情况等机能学改变；能够呈现临床检验检查、辅助检查的资料，问诊、听诊、视诊等诊断和评估内容，结合基础医学内容制定治疗方案。</w:t>
            </w:r>
          </w:p>
        </w:tc>
        <w:tc>
          <w:tcPr>
            <w:tcW w:w="556" w:type="pct"/>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提供的功能齐全完整、呈现效果符合要求</w:t>
            </w:r>
          </w:p>
        </w:tc>
        <w:tc>
          <w:tcPr>
            <w:tcW w:w="470" w:type="pct"/>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供应商书面承诺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 w:type="pct"/>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2</w:t>
            </w:r>
          </w:p>
        </w:tc>
        <w:tc>
          <w:tcPr>
            <w:tcW w:w="346" w:type="pct"/>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基于AR技术的脑外伤基础与临床整合式虚拟仿真实验（定制开发）</w:t>
            </w:r>
          </w:p>
        </w:tc>
        <w:tc>
          <w:tcPr>
            <w:tcW w:w="406" w:type="pct"/>
            <w:vMerge w:val="restart"/>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模型动画技术</w:t>
            </w:r>
          </w:p>
        </w:tc>
        <w:tc>
          <w:tcPr>
            <w:tcW w:w="541" w:type="pct"/>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模型制作</w:t>
            </w:r>
          </w:p>
        </w:tc>
        <w:tc>
          <w:tcPr>
            <w:tcW w:w="1043" w:type="pct"/>
            <w:vAlign w:val="center"/>
          </w:tcPr>
          <w:p>
            <w:pPr>
              <w:widowControl/>
              <w:spacing w:line="320" w:lineRule="exact"/>
              <w:ind w:left="0" w:leftChars="0" w:right="0" w:rightChars="0" w:firstLine="0" w:firstLineChars="0"/>
              <w:jc w:val="both"/>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 xml:space="preserve">强制要求     </w:t>
            </w:r>
            <w:r>
              <w:rPr>
                <w:rFonts w:hint="eastAsia" w:ascii="仿宋_GB2312" w:hAnsi="仿宋_GB2312" w:eastAsia="仿宋_GB2312" w:cs="仿宋_GB2312"/>
                <w:kern w:val="0"/>
                <w:szCs w:val="21"/>
              </w:rPr>
              <w:sym w:font="Wingdings 2" w:char="00A3"/>
            </w:r>
          </w:p>
          <w:p>
            <w:pPr>
              <w:widowControl/>
              <w:spacing w:line="320" w:lineRule="exact"/>
              <w:ind w:left="0" w:leftChars="0" w:right="0" w:rightChars="0" w:firstLine="0" w:firstLineChars="0"/>
              <w:jc w:val="both"/>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 xml:space="preserve">评分因素     </w:t>
            </w:r>
            <w:r>
              <w:rPr>
                <w:rFonts w:hint="eastAsia" w:ascii="仿宋_GB2312" w:hAnsi="仿宋_GB2312" w:eastAsia="仿宋_GB2312" w:cs="仿宋_GB2312"/>
                <w:kern w:val="0"/>
                <w:szCs w:val="21"/>
              </w:rPr>
              <w:sym w:font="Wingdings" w:char="00FE"/>
            </w:r>
          </w:p>
          <w:p>
            <w:pPr>
              <w:widowControl/>
              <w:spacing w:line="320" w:lineRule="exact"/>
              <w:ind w:left="0" w:leftChars="0" w:right="0" w:rightChars="0" w:firstLine="0" w:firstLineChars="0"/>
              <w:jc w:val="both"/>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 xml:space="preserve">建议作为重要指标，适当增加分值权重         </w:t>
            </w:r>
            <w:r>
              <w:rPr>
                <w:rFonts w:hint="eastAsia" w:ascii="仿宋_GB2312" w:hAnsi="仿宋_GB2312" w:eastAsia="仿宋_GB2312" w:cs="仿宋_GB2312"/>
                <w:kern w:val="0"/>
                <w:szCs w:val="21"/>
              </w:rPr>
              <w:sym w:font="Wingdings" w:char="00A8"/>
            </w:r>
          </w:p>
        </w:tc>
        <w:tc>
          <w:tcPr>
            <w:tcW w:w="1402" w:type="pct"/>
            <w:vAlign w:val="center"/>
          </w:tcPr>
          <w:p>
            <w:pPr>
              <w:widowControl/>
              <w:spacing w:line="320" w:lineRule="exact"/>
              <w:ind w:left="0" w:leftChars="0" w:right="0" w:rightChars="0" w:firstLine="0" w:firstLineChars="0"/>
              <w:jc w:val="both"/>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系统中模型、材质、纹理等文件必须规范命名及分层、分类管理，命名中不可有中文名称，不能重名，易于识别，模型格式至少是.fbx或.3ds；均为3D效果，构建与真实物种1：1比例非拟人化、非漫画形象，仿真度高；单个max文件里如有多个物体，需将多个物体打组（单个物体无需打组），静态辅助物体需要attach成一个物体；材质球命名与物体名称一致，材质球的ID号和物体的ID号必须一致；模型制作既要保证逼真的质量又要控制好三角面的数量，单个模型的面数控制2000面以内，不能有多余面；模型的中心点在模型的中心位置。</w:t>
            </w:r>
          </w:p>
        </w:tc>
        <w:tc>
          <w:tcPr>
            <w:tcW w:w="556" w:type="pct"/>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模型制作符合要求，提供的功能齐全完整</w:t>
            </w:r>
          </w:p>
        </w:tc>
        <w:tc>
          <w:tcPr>
            <w:tcW w:w="470" w:type="pct"/>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供应商书面承诺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 w:type="pct"/>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3</w:t>
            </w:r>
          </w:p>
        </w:tc>
        <w:tc>
          <w:tcPr>
            <w:tcW w:w="346" w:type="pct"/>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基于AR技术的脑外伤基础与临床整合式虚拟仿真实验（定制开发）</w:t>
            </w:r>
          </w:p>
        </w:tc>
        <w:tc>
          <w:tcPr>
            <w:tcW w:w="406" w:type="pct"/>
            <w:vMerge w:val="continue"/>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p>
        </w:tc>
        <w:tc>
          <w:tcPr>
            <w:tcW w:w="541" w:type="pct"/>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贴图材质</w:t>
            </w:r>
          </w:p>
        </w:tc>
        <w:tc>
          <w:tcPr>
            <w:tcW w:w="1043" w:type="pct"/>
            <w:vAlign w:val="center"/>
          </w:tcPr>
          <w:p>
            <w:pPr>
              <w:widowControl/>
              <w:spacing w:line="320" w:lineRule="exact"/>
              <w:ind w:left="0" w:leftChars="0" w:right="0" w:rightChars="0" w:firstLine="0" w:firstLineChars="0"/>
              <w:jc w:val="both"/>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 xml:space="preserve">强制要求     </w:t>
            </w:r>
            <w:r>
              <w:rPr>
                <w:rFonts w:hint="eastAsia" w:ascii="仿宋_GB2312" w:hAnsi="仿宋_GB2312" w:eastAsia="仿宋_GB2312" w:cs="仿宋_GB2312"/>
                <w:kern w:val="0"/>
                <w:szCs w:val="21"/>
              </w:rPr>
              <w:sym w:font="Wingdings 2" w:char="00A3"/>
            </w:r>
          </w:p>
          <w:p>
            <w:pPr>
              <w:widowControl/>
              <w:spacing w:line="320" w:lineRule="exact"/>
              <w:ind w:left="0" w:leftChars="0" w:right="0" w:rightChars="0" w:firstLine="0" w:firstLineChars="0"/>
              <w:jc w:val="both"/>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 xml:space="preserve">评分因素     </w:t>
            </w:r>
            <w:r>
              <w:rPr>
                <w:rFonts w:hint="eastAsia" w:ascii="仿宋_GB2312" w:hAnsi="仿宋_GB2312" w:eastAsia="仿宋_GB2312" w:cs="仿宋_GB2312"/>
                <w:kern w:val="0"/>
                <w:szCs w:val="21"/>
              </w:rPr>
              <w:sym w:font="Wingdings" w:char="00FE"/>
            </w:r>
          </w:p>
          <w:p>
            <w:pPr>
              <w:widowControl/>
              <w:spacing w:line="320" w:lineRule="exact"/>
              <w:ind w:left="0" w:leftChars="0" w:right="0" w:rightChars="0" w:firstLine="0" w:firstLineChars="0"/>
              <w:jc w:val="both"/>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 xml:space="preserve">建议作为重要指标，适当增加分值权重         </w:t>
            </w:r>
            <w:r>
              <w:rPr>
                <w:rFonts w:hint="eastAsia" w:ascii="仿宋_GB2312" w:hAnsi="仿宋_GB2312" w:eastAsia="仿宋_GB2312" w:cs="仿宋_GB2312"/>
                <w:kern w:val="0"/>
                <w:szCs w:val="21"/>
              </w:rPr>
              <w:sym w:font="Wingdings" w:char="00A8"/>
            </w:r>
          </w:p>
        </w:tc>
        <w:tc>
          <w:tcPr>
            <w:tcW w:w="1402" w:type="pct"/>
            <w:vAlign w:val="center"/>
          </w:tcPr>
          <w:p>
            <w:pPr>
              <w:widowControl/>
              <w:spacing w:line="320" w:lineRule="exact"/>
              <w:ind w:left="0" w:leftChars="0" w:right="0" w:rightChars="0" w:firstLine="0" w:firstLineChars="0"/>
              <w:jc w:val="both"/>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模型材质要进行烘焙处理，以生成带有阴影、高光、反射等效果的贴图；所有模型采用实物贴图，并做优化处理，要色彩协调，明暗和冷暖统一，贴图格式为.DDS，进行法线贴图处理来达到最佳的视觉效果；一个物件给一张贴图，颜色贴图不要放在凹凸通道里，一张贴图要占满整个画布，不能出现浪费贴图空间的情况，场景中连续贴图不能看到有明显的缝隙；UV展开要均匀舒展，避免拉伸，最大化提高UV的利用率；材质大小长宽像素为2的1.次方倍数，贴图大小最大不超过1024×1024；同种贴图必须使一个材质球。</w:t>
            </w:r>
          </w:p>
        </w:tc>
        <w:tc>
          <w:tcPr>
            <w:tcW w:w="556" w:type="pct"/>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贴图材质和处理符合指标要求，视觉效果要达到最佳</w:t>
            </w:r>
          </w:p>
        </w:tc>
        <w:tc>
          <w:tcPr>
            <w:tcW w:w="470" w:type="pct"/>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供应商书面承诺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3" w:hRule="atLeast"/>
        </w:trPr>
        <w:tc>
          <w:tcPr>
            <w:tcW w:w="233" w:type="pct"/>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4</w:t>
            </w:r>
          </w:p>
        </w:tc>
        <w:tc>
          <w:tcPr>
            <w:tcW w:w="346" w:type="pct"/>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基于AR技术的脑外伤基础与临床整合式虚拟仿真实验（定制开发）</w:t>
            </w:r>
          </w:p>
        </w:tc>
        <w:tc>
          <w:tcPr>
            <w:tcW w:w="406" w:type="pct"/>
            <w:vMerge w:val="continue"/>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p>
        </w:tc>
        <w:tc>
          <w:tcPr>
            <w:tcW w:w="541" w:type="pct"/>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粒子特效</w:t>
            </w:r>
          </w:p>
        </w:tc>
        <w:tc>
          <w:tcPr>
            <w:tcW w:w="1043" w:type="pct"/>
            <w:vAlign w:val="center"/>
          </w:tcPr>
          <w:p>
            <w:pPr>
              <w:widowControl/>
              <w:spacing w:line="320" w:lineRule="exact"/>
              <w:ind w:left="0" w:leftChars="0" w:right="0" w:rightChars="0" w:firstLine="0" w:firstLineChars="0"/>
              <w:jc w:val="both"/>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 xml:space="preserve">强制要求     </w:t>
            </w:r>
            <w:r>
              <w:rPr>
                <w:rFonts w:hint="eastAsia" w:ascii="仿宋_GB2312" w:hAnsi="仿宋_GB2312" w:eastAsia="仿宋_GB2312" w:cs="仿宋_GB2312"/>
                <w:kern w:val="0"/>
                <w:szCs w:val="21"/>
              </w:rPr>
              <w:sym w:font="Wingdings 2" w:char="00A3"/>
            </w:r>
          </w:p>
          <w:p>
            <w:pPr>
              <w:widowControl/>
              <w:spacing w:line="320" w:lineRule="exact"/>
              <w:ind w:left="0" w:leftChars="0" w:right="0" w:rightChars="0" w:firstLine="0" w:firstLineChars="0"/>
              <w:jc w:val="both"/>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 xml:space="preserve">评分因素     </w:t>
            </w:r>
            <w:r>
              <w:rPr>
                <w:rFonts w:hint="eastAsia" w:ascii="仿宋_GB2312" w:hAnsi="仿宋_GB2312" w:eastAsia="仿宋_GB2312" w:cs="仿宋_GB2312"/>
                <w:kern w:val="0"/>
                <w:szCs w:val="21"/>
              </w:rPr>
              <w:sym w:font="Wingdings" w:char="00FE"/>
            </w:r>
          </w:p>
          <w:p>
            <w:pPr>
              <w:widowControl/>
              <w:spacing w:line="320" w:lineRule="exact"/>
              <w:ind w:left="0" w:leftChars="0" w:right="0" w:rightChars="0" w:firstLine="0" w:firstLineChars="0"/>
              <w:jc w:val="both"/>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 xml:space="preserve">建议作为重要指标，适当增加分值权重         </w:t>
            </w:r>
            <w:r>
              <w:rPr>
                <w:rFonts w:hint="eastAsia" w:ascii="仿宋_GB2312" w:hAnsi="仿宋_GB2312" w:eastAsia="仿宋_GB2312" w:cs="仿宋_GB2312"/>
                <w:kern w:val="0"/>
                <w:szCs w:val="21"/>
              </w:rPr>
              <w:sym w:font="Wingdings" w:char="00A8"/>
            </w:r>
          </w:p>
        </w:tc>
        <w:tc>
          <w:tcPr>
            <w:tcW w:w="1402" w:type="pct"/>
            <w:vAlign w:val="center"/>
          </w:tcPr>
          <w:p>
            <w:pPr>
              <w:widowControl/>
              <w:spacing w:line="320" w:lineRule="exact"/>
              <w:ind w:left="0" w:leftChars="0" w:right="0" w:rightChars="0" w:firstLine="0" w:firstLineChars="0"/>
              <w:jc w:val="both"/>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能根据环境情况自动的发生变化，例如：水、烟雾、太阳光晕等环境效果，更加真实的模拟现实环境的效果。</w:t>
            </w:r>
          </w:p>
        </w:tc>
        <w:tc>
          <w:tcPr>
            <w:tcW w:w="556" w:type="pct"/>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提供的功能齐全完整、特效还原度高</w:t>
            </w:r>
          </w:p>
        </w:tc>
        <w:tc>
          <w:tcPr>
            <w:tcW w:w="470" w:type="pct"/>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供应商书面承诺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4" w:hRule="atLeast"/>
        </w:trPr>
        <w:tc>
          <w:tcPr>
            <w:tcW w:w="233" w:type="pct"/>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5</w:t>
            </w:r>
          </w:p>
        </w:tc>
        <w:tc>
          <w:tcPr>
            <w:tcW w:w="346" w:type="pct"/>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基于AR技术的脑外伤基础与临床整合式虚拟仿真实验（定制开发）</w:t>
            </w:r>
          </w:p>
        </w:tc>
        <w:tc>
          <w:tcPr>
            <w:tcW w:w="406" w:type="pct"/>
            <w:vMerge w:val="continue"/>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p>
        </w:tc>
        <w:tc>
          <w:tcPr>
            <w:tcW w:w="541" w:type="pct"/>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场景制作</w:t>
            </w:r>
          </w:p>
        </w:tc>
        <w:tc>
          <w:tcPr>
            <w:tcW w:w="1043" w:type="pct"/>
            <w:vAlign w:val="center"/>
          </w:tcPr>
          <w:p>
            <w:pPr>
              <w:widowControl/>
              <w:spacing w:line="320" w:lineRule="exact"/>
              <w:ind w:left="0" w:leftChars="0" w:right="0" w:rightChars="0" w:firstLine="0" w:firstLineChars="0"/>
              <w:jc w:val="both"/>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 xml:space="preserve">强制要求     </w:t>
            </w:r>
            <w:r>
              <w:rPr>
                <w:rFonts w:hint="eastAsia" w:ascii="仿宋_GB2312" w:hAnsi="仿宋_GB2312" w:eastAsia="仿宋_GB2312" w:cs="仿宋_GB2312"/>
                <w:kern w:val="0"/>
                <w:szCs w:val="21"/>
              </w:rPr>
              <w:sym w:font="Wingdings 2" w:char="00A3"/>
            </w:r>
          </w:p>
          <w:p>
            <w:pPr>
              <w:widowControl/>
              <w:spacing w:line="320" w:lineRule="exact"/>
              <w:ind w:left="0" w:leftChars="0" w:right="0" w:rightChars="0" w:firstLine="0" w:firstLineChars="0"/>
              <w:jc w:val="both"/>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 xml:space="preserve">评分因素     </w:t>
            </w:r>
            <w:r>
              <w:rPr>
                <w:rFonts w:hint="eastAsia" w:ascii="仿宋_GB2312" w:hAnsi="仿宋_GB2312" w:eastAsia="仿宋_GB2312" w:cs="仿宋_GB2312"/>
                <w:kern w:val="0"/>
                <w:szCs w:val="21"/>
              </w:rPr>
              <w:sym w:font="Wingdings" w:char="00FE"/>
            </w:r>
          </w:p>
          <w:p>
            <w:pPr>
              <w:widowControl/>
              <w:spacing w:line="320" w:lineRule="exact"/>
              <w:ind w:left="0" w:leftChars="0" w:right="0" w:rightChars="0" w:firstLine="0" w:firstLineChars="0"/>
              <w:jc w:val="both"/>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 xml:space="preserve">建议作为重要指标，适当增加分值权重         </w:t>
            </w:r>
            <w:r>
              <w:rPr>
                <w:rFonts w:hint="eastAsia" w:ascii="仿宋_GB2312" w:hAnsi="仿宋_GB2312" w:eastAsia="仿宋_GB2312" w:cs="仿宋_GB2312"/>
                <w:kern w:val="0"/>
                <w:szCs w:val="21"/>
              </w:rPr>
              <w:sym w:font="Wingdings" w:char="00A8"/>
            </w:r>
          </w:p>
        </w:tc>
        <w:tc>
          <w:tcPr>
            <w:tcW w:w="1402" w:type="pct"/>
            <w:vAlign w:val="center"/>
          </w:tcPr>
          <w:p>
            <w:pPr>
              <w:widowControl/>
              <w:spacing w:line="320" w:lineRule="exact"/>
              <w:ind w:left="0" w:leftChars="0" w:right="0" w:rightChars="0" w:firstLine="0" w:firstLineChars="0"/>
              <w:jc w:val="both"/>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无分辨率限制，能够支持1920×1200以上分辨率的三维视景，1：1实物大小显示，可对场景模型进行实时顶点优化和动态加载LOD设置调整，根据视觉效果调整优化比例，减少数据量，提高运行效率，帧速率25帧以上；</w:t>
            </w:r>
          </w:p>
        </w:tc>
        <w:tc>
          <w:tcPr>
            <w:tcW w:w="556" w:type="pct"/>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视觉效果越强越好</w:t>
            </w:r>
          </w:p>
        </w:tc>
        <w:tc>
          <w:tcPr>
            <w:tcW w:w="470" w:type="pct"/>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供应商书面承诺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33" w:type="pct"/>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6</w:t>
            </w:r>
          </w:p>
        </w:tc>
        <w:tc>
          <w:tcPr>
            <w:tcW w:w="346" w:type="pct"/>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基于AR技术的脑外伤基础与临床整合式虚拟仿真实验（定制开发）</w:t>
            </w:r>
          </w:p>
        </w:tc>
        <w:tc>
          <w:tcPr>
            <w:tcW w:w="406" w:type="pct"/>
            <w:vMerge w:val="continue"/>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p>
        </w:tc>
        <w:tc>
          <w:tcPr>
            <w:tcW w:w="541" w:type="pct"/>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场景布置</w:t>
            </w:r>
          </w:p>
        </w:tc>
        <w:tc>
          <w:tcPr>
            <w:tcW w:w="1043" w:type="pct"/>
            <w:vAlign w:val="center"/>
          </w:tcPr>
          <w:p>
            <w:pPr>
              <w:widowControl/>
              <w:spacing w:line="320" w:lineRule="exact"/>
              <w:ind w:left="0" w:leftChars="0" w:right="0" w:rightChars="0" w:firstLine="0" w:firstLineChars="0"/>
              <w:jc w:val="both"/>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 xml:space="preserve">强制要求     </w:t>
            </w:r>
            <w:r>
              <w:rPr>
                <w:rFonts w:hint="eastAsia" w:ascii="仿宋_GB2312" w:hAnsi="仿宋_GB2312" w:eastAsia="仿宋_GB2312" w:cs="仿宋_GB2312"/>
                <w:kern w:val="0"/>
                <w:szCs w:val="21"/>
              </w:rPr>
              <w:sym w:font="Wingdings 2" w:char="00A3"/>
            </w:r>
          </w:p>
          <w:p>
            <w:pPr>
              <w:widowControl/>
              <w:spacing w:line="320" w:lineRule="exact"/>
              <w:ind w:left="0" w:leftChars="0" w:right="0" w:rightChars="0" w:firstLine="0" w:firstLineChars="0"/>
              <w:jc w:val="both"/>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 xml:space="preserve">评分因素     </w:t>
            </w:r>
            <w:r>
              <w:rPr>
                <w:rFonts w:hint="eastAsia" w:ascii="仿宋_GB2312" w:hAnsi="仿宋_GB2312" w:eastAsia="仿宋_GB2312" w:cs="仿宋_GB2312"/>
                <w:kern w:val="0"/>
                <w:szCs w:val="21"/>
              </w:rPr>
              <w:sym w:font="Wingdings" w:char="00FE"/>
            </w:r>
          </w:p>
          <w:p>
            <w:pPr>
              <w:widowControl/>
              <w:spacing w:line="320" w:lineRule="exact"/>
              <w:ind w:left="0" w:leftChars="0" w:right="0" w:rightChars="0" w:firstLine="0" w:firstLineChars="0"/>
              <w:jc w:val="both"/>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 xml:space="preserve">建议作为重要指标，适当增加分值权重         </w:t>
            </w:r>
            <w:r>
              <w:rPr>
                <w:rFonts w:hint="eastAsia" w:ascii="仿宋_GB2312" w:hAnsi="仿宋_GB2312" w:eastAsia="仿宋_GB2312" w:cs="仿宋_GB2312"/>
                <w:kern w:val="0"/>
                <w:szCs w:val="21"/>
              </w:rPr>
              <w:sym w:font="Wingdings" w:char="00A8"/>
            </w:r>
          </w:p>
        </w:tc>
        <w:tc>
          <w:tcPr>
            <w:tcW w:w="1402" w:type="pct"/>
            <w:vAlign w:val="center"/>
          </w:tcPr>
          <w:p>
            <w:pPr>
              <w:widowControl/>
              <w:spacing w:line="320" w:lineRule="exact"/>
              <w:ind w:left="0" w:leftChars="0" w:right="0" w:rightChars="0" w:firstLine="0" w:firstLineChars="0"/>
              <w:jc w:val="both"/>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基本物件在制作过程中严禁有缩放，有旋转的物体应保留旋转信息，不要镜像物体；整体场景及效果：紧紧围绕现实中的真实环境进行场景建设，真实的反应身临其境的效果。</w:t>
            </w:r>
          </w:p>
        </w:tc>
        <w:tc>
          <w:tcPr>
            <w:tcW w:w="556" w:type="pct"/>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提供的功能齐全完整，场景建设真实感越强越好</w:t>
            </w:r>
          </w:p>
        </w:tc>
        <w:tc>
          <w:tcPr>
            <w:tcW w:w="470" w:type="pct"/>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供应商书面承诺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 w:type="pct"/>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7</w:t>
            </w:r>
          </w:p>
        </w:tc>
        <w:tc>
          <w:tcPr>
            <w:tcW w:w="346" w:type="pct"/>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基于AR技术的脑外伤基础与临床整合式虚拟仿真实验（定制开发）</w:t>
            </w:r>
          </w:p>
        </w:tc>
        <w:tc>
          <w:tcPr>
            <w:tcW w:w="406" w:type="pct"/>
            <w:vMerge w:val="continue"/>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p>
        </w:tc>
        <w:tc>
          <w:tcPr>
            <w:tcW w:w="541" w:type="pct"/>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声音</w:t>
            </w:r>
          </w:p>
        </w:tc>
        <w:tc>
          <w:tcPr>
            <w:tcW w:w="1043" w:type="pct"/>
            <w:vAlign w:val="center"/>
          </w:tcPr>
          <w:p>
            <w:pPr>
              <w:widowControl/>
              <w:spacing w:line="320" w:lineRule="exact"/>
              <w:ind w:left="0" w:leftChars="0" w:right="0" w:rightChars="0" w:firstLine="0" w:firstLineChars="0"/>
              <w:jc w:val="both"/>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 xml:space="preserve">强制要求     </w:t>
            </w:r>
            <w:r>
              <w:rPr>
                <w:rFonts w:hint="eastAsia" w:ascii="仿宋_GB2312" w:hAnsi="仿宋_GB2312" w:eastAsia="仿宋_GB2312" w:cs="仿宋_GB2312"/>
                <w:kern w:val="0"/>
                <w:szCs w:val="21"/>
              </w:rPr>
              <w:sym w:font="Wingdings 2" w:char="00A3"/>
            </w:r>
          </w:p>
          <w:p>
            <w:pPr>
              <w:widowControl/>
              <w:spacing w:line="320" w:lineRule="exact"/>
              <w:ind w:left="0" w:leftChars="0" w:right="0" w:rightChars="0" w:firstLine="0" w:firstLineChars="0"/>
              <w:jc w:val="both"/>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 xml:space="preserve">评分因素     </w:t>
            </w:r>
            <w:r>
              <w:rPr>
                <w:rFonts w:hint="eastAsia" w:ascii="仿宋_GB2312" w:hAnsi="仿宋_GB2312" w:eastAsia="仿宋_GB2312" w:cs="仿宋_GB2312"/>
                <w:kern w:val="0"/>
                <w:szCs w:val="21"/>
              </w:rPr>
              <w:sym w:font="Wingdings" w:char="00FE"/>
            </w:r>
          </w:p>
          <w:p>
            <w:pPr>
              <w:widowControl/>
              <w:spacing w:line="320" w:lineRule="exact"/>
              <w:ind w:left="0" w:leftChars="0" w:right="0" w:rightChars="0" w:firstLine="0" w:firstLineChars="0"/>
              <w:jc w:val="both"/>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 xml:space="preserve">建议作为重要指标，适当增加分值权重         </w:t>
            </w:r>
            <w:r>
              <w:rPr>
                <w:rFonts w:hint="eastAsia" w:ascii="仿宋_GB2312" w:hAnsi="仿宋_GB2312" w:eastAsia="仿宋_GB2312" w:cs="仿宋_GB2312"/>
                <w:kern w:val="0"/>
                <w:szCs w:val="21"/>
              </w:rPr>
              <w:sym w:font="Wingdings" w:char="00A8"/>
            </w:r>
          </w:p>
        </w:tc>
        <w:tc>
          <w:tcPr>
            <w:tcW w:w="1402" w:type="pct"/>
            <w:vAlign w:val="center"/>
          </w:tcPr>
          <w:p>
            <w:pPr>
              <w:widowControl/>
              <w:spacing w:line="320" w:lineRule="exact"/>
              <w:ind w:left="0" w:leftChars="0" w:right="0" w:rightChars="0" w:firstLine="0" w:firstLineChars="0"/>
              <w:jc w:val="both"/>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场景音效、声音解说要求制作逼真，采用专业的普通话进行配音；</w:t>
            </w:r>
          </w:p>
        </w:tc>
        <w:tc>
          <w:tcPr>
            <w:tcW w:w="556" w:type="pct"/>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声音越逼真越好</w:t>
            </w:r>
          </w:p>
        </w:tc>
        <w:tc>
          <w:tcPr>
            <w:tcW w:w="470" w:type="pct"/>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供应商书面承诺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 w:type="pct"/>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8</w:t>
            </w:r>
          </w:p>
        </w:tc>
        <w:tc>
          <w:tcPr>
            <w:tcW w:w="346" w:type="pct"/>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基于AR技术的脑外伤基础与临床整合式虚拟仿真实验（定制开发）</w:t>
            </w:r>
          </w:p>
        </w:tc>
        <w:tc>
          <w:tcPr>
            <w:tcW w:w="406" w:type="pct"/>
            <w:vMerge w:val="continue"/>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p>
        </w:tc>
        <w:tc>
          <w:tcPr>
            <w:tcW w:w="541" w:type="pct"/>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视频</w:t>
            </w:r>
          </w:p>
        </w:tc>
        <w:tc>
          <w:tcPr>
            <w:tcW w:w="1043" w:type="pct"/>
            <w:vAlign w:val="center"/>
          </w:tcPr>
          <w:p>
            <w:pPr>
              <w:widowControl/>
              <w:spacing w:line="320" w:lineRule="exact"/>
              <w:ind w:left="0" w:leftChars="0" w:right="0" w:rightChars="0" w:firstLine="0" w:firstLineChars="0"/>
              <w:jc w:val="both"/>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 xml:space="preserve">强制要求     </w:t>
            </w:r>
            <w:r>
              <w:rPr>
                <w:rFonts w:hint="eastAsia" w:ascii="仿宋_GB2312" w:hAnsi="仿宋_GB2312" w:eastAsia="仿宋_GB2312" w:cs="仿宋_GB2312"/>
                <w:kern w:val="0"/>
                <w:szCs w:val="21"/>
              </w:rPr>
              <w:sym w:font="Wingdings 2" w:char="00A3"/>
            </w:r>
          </w:p>
          <w:p>
            <w:pPr>
              <w:widowControl/>
              <w:spacing w:line="320" w:lineRule="exact"/>
              <w:ind w:left="0" w:leftChars="0" w:right="0" w:rightChars="0" w:firstLine="0" w:firstLineChars="0"/>
              <w:jc w:val="both"/>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 xml:space="preserve">评分因素     </w:t>
            </w:r>
            <w:r>
              <w:rPr>
                <w:rFonts w:hint="eastAsia" w:ascii="仿宋_GB2312" w:hAnsi="仿宋_GB2312" w:eastAsia="仿宋_GB2312" w:cs="仿宋_GB2312"/>
                <w:kern w:val="0"/>
                <w:szCs w:val="21"/>
              </w:rPr>
              <w:sym w:font="Wingdings" w:char="00FE"/>
            </w:r>
          </w:p>
          <w:p>
            <w:pPr>
              <w:widowControl/>
              <w:spacing w:line="320" w:lineRule="exact"/>
              <w:ind w:left="0" w:leftChars="0" w:right="0" w:rightChars="0" w:firstLine="0" w:firstLineChars="0"/>
              <w:jc w:val="both"/>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 xml:space="preserve">建议作为重要指标，适当增加分值权重         </w:t>
            </w:r>
            <w:r>
              <w:rPr>
                <w:rFonts w:hint="eastAsia" w:ascii="仿宋_GB2312" w:hAnsi="仿宋_GB2312" w:eastAsia="仿宋_GB2312" w:cs="仿宋_GB2312"/>
                <w:kern w:val="0"/>
                <w:szCs w:val="21"/>
              </w:rPr>
              <w:sym w:font="Wingdings" w:char="00A8"/>
            </w:r>
          </w:p>
        </w:tc>
        <w:tc>
          <w:tcPr>
            <w:tcW w:w="1402" w:type="pct"/>
            <w:vAlign w:val="center"/>
          </w:tcPr>
          <w:p>
            <w:pPr>
              <w:widowControl/>
              <w:spacing w:line="320" w:lineRule="exact"/>
              <w:ind w:left="0" w:leftChars="0" w:right="0" w:rightChars="0" w:firstLine="0" w:firstLineChars="0"/>
              <w:jc w:val="both"/>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在场景对象上可嵌入外部视频文件，视频文件格式支持不少于AVI、WMV格式。要实现视频流的预读取功能，以保证视频播放流畅；</w:t>
            </w:r>
          </w:p>
        </w:tc>
        <w:tc>
          <w:tcPr>
            <w:tcW w:w="556" w:type="pct"/>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提供的功能齐全完整，支持的视频格式越多越好</w:t>
            </w:r>
          </w:p>
        </w:tc>
        <w:tc>
          <w:tcPr>
            <w:tcW w:w="470" w:type="pct"/>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供应商书面承诺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 w:type="pct"/>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9</w:t>
            </w:r>
          </w:p>
        </w:tc>
        <w:tc>
          <w:tcPr>
            <w:tcW w:w="346" w:type="pct"/>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基于AR技术的脑外伤基础与临床整合式虚拟仿真实验（定制开发）</w:t>
            </w:r>
          </w:p>
        </w:tc>
        <w:tc>
          <w:tcPr>
            <w:tcW w:w="406" w:type="pct"/>
            <w:vMerge w:val="continue"/>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p>
        </w:tc>
        <w:tc>
          <w:tcPr>
            <w:tcW w:w="541" w:type="pct"/>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UI</w:t>
            </w:r>
          </w:p>
        </w:tc>
        <w:tc>
          <w:tcPr>
            <w:tcW w:w="1043" w:type="pct"/>
            <w:vAlign w:val="center"/>
          </w:tcPr>
          <w:p>
            <w:pPr>
              <w:widowControl/>
              <w:spacing w:line="320" w:lineRule="exact"/>
              <w:ind w:left="0" w:leftChars="0" w:right="0" w:rightChars="0" w:firstLine="0" w:firstLineChars="0"/>
              <w:jc w:val="both"/>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 xml:space="preserve">强制要求     </w:t>
            </w:r>
            <w:r>
              <w:rPr>
                <w:rFonts w:hint="eastAsia" w:ascii="仿宋_GB2312" w:hAnsi="仿宋_GB2312" w:eastAsia="仿宋_GB2312" w:cs="仿宋_GB2312"/>
                <w:kern w:val="0"/>
                <w:szCs w:val="21"/>
              </w:rPr>
              <w:sym w:font="Wingdings 2" w:char="00A3"/>
            </w:r>
          </w:p>
          <w:p>
            <w:pPr>
              <w:widowControl/>
              <w:spacing w:line="320" w:lineRule="exact"/>
              <w:ind w:left="0" w:leftChars="0" w:right="0" w:rightChars="0" w:firstLine="0" w:firstLineChars="0"/>
              <w:jc w:val="both"/>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 xml:space="preserve">评分因素     </w:t>
            </w:r>
            <w:r>
              <w:rPr>
                <w:rFonts w:hint="eastAsia" w:ascii="仿宋_GB2312" w:hAnsi="仿宋_GB2312" w:eastAsia="仿宋_GB2312" w:cs="仿宋_GB2312"/>
                <w:kern w:val="0"/>
                <w:szCs w:val="21"/>
              </w:rPr>
              <w:sym w:font="Wingdings" w:char="00FE"/>
            </w:r>
          </w:p>
          <w:p>
            <w:pPr>
              <w:widowControl/>
              <w:spacing w:line="320" w:lineRule="exact"/>
              <w:ind w:left="0" w:leftChars="0" w:right="0" w:rightChars="0" w:firstLine="0" w:firstLineChars="0"/>
              <w:jc w:val="both"/>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 xml:space="preserve">建议作为重要指标，适当增加分值权重         </w:t>
            </w:r>
            <w:r>
              <w:rPr>
                <w:rFonts w:hint="eastAsia" w:ascii="仿宋_GB2312" w:hAnsi="仿宋_GB2312" w:eastAsia="仿宋_GB2312" w:cs="仿宋_GB2312"/>
                <w:kern w:val="0"/>
                <w:szCs w:val="21"/>
              </w:rPr>
              <w:sym w:font="Wingdings" w:char="00A8"/>
            </w:r>
          </w:p>
        </w:tc>
        <w:tc>
          <w:tcPr>
            <w:tcW w:w="1402" w:type="pct"/>
            <w:vAlign w:val="center"/>
          </w:tcPr>
          <w:p>
            <w:pPr>
              <w:widowControl/>
              <w:spacing w:line="320" w:lineRule="exact"/>
              <w:ind w:left="0" w:leftChars="0" w:right="0" w:rightChars="0" w:firstLine="0" w:firstLineChars="0"/>
              <w:jc w:val="both"/>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系统内嵌提醒帮助机制，在各个子界面中，采用场景对象方式，设计文本提示框等信息，系统设置帮助文档，浮动帮助文字。以3D形式进行场景展示时要求过程流畅，平滑连续，响应及时。可以自由拖拽场景中各种物体，仪器，与需要交互的物体之间展开交互，同时也可以点击关键部位查看提示信息。</w:t>
            </w:r>
            <w:bookmarkStart w:id="5" w:name="_GoBack"/>
            <w:bookmarkEnd w:id="5"/>
          </w:p>
        </w:tc>
        <w:tc>
          <w:tcPr>
            <w:tcW w:w="556" w:type="pct"/>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UI界面设计合理，满足虚拟仿真实验管理和操作的需要，界面风格统一</w:t>
            </w:r>
          </w:p>
        </w:tc>
        <w:tc>
          <w:tcPr>
            <w:tcW w:w="470" w:type="pct"/>
            <w:vAlign w:val="center"/>
          </w:tcPr>
          <w:p>
            <w:pPr>
              <w:widowControl/>
              <w:spacing w:line="320" w:lineRule="exact"/>
              <w:ind w:left="0" w:leftChars="0" w:right="0" w:rightChars="0" w:firstLine="0" w:firstLineChars="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供应商书面承诺</w:t>
            </w:r>
          </w:p>
        </w:tc>
      </w:tr>
    </w:tbl>
    <w:p>
      <w:pPr>
        <w:pStyle w:val="23"/>
        <w:ind w:firstLine="0" w:firstLineChars="0"/>
        <w:rPr>
          <w:sz w:val="32"/>
          <w:szCs w:val="32"/>
        </w:rPr>
      </w:pPr>
    </w:p>
    <w:bookmarkEnd w:id="3"/>
    <w:p>
      <w:pPr>
        <w:pStyle w:val="22"/>
        <w:spacing w:before="0" w:after="0" w:line="572" w:lineRule="exact"/>
        <w:ind w:firstLine="683" w:firstLineChars="200"/>
        <w:jc w:val="both"/>
        <w:rPr>
          <w:rFonts w:ascii="仿宋_GB2312" w:hAnsi="仿宋" w:eastAsia="仿宋_GB2312"/>
          <w:b/>
          <w:sz w:val="32"/>
          <w:szCs w:val="32"/>
        </w:rPr>
      </w:pPr>
      <w:r>
        <w:rPr>
          <w:rFonts w:hint="eastAsia" w:ascii="仿宋_GB2312" w:hAnsi="仿宋" w:eastAsia="仿宋_GB2312"/>
          <w:b/>
          <w:sz w:val="32"/>
          <w:szCs w:val="32"/>
        </w:rPr>
        <w:t>4.验收标准方法</w:t>
      </w:r>
    </w:p>
    <w:p>
      <w:pPr>
        <w:spacing w:line="579" w:lineRule="exact"/>
        <w:ind w:firstLine="640" w:firstLineChars="200"/>
        <w:rPr>
          <w:rFonts w:ascii="仿宋_GB2312" w:hAnsi="Times New Roman" w:eastAsia="仿宋_GB2312" w:cs="Times New Roman"/>
          <w:kern w:val="0"/>
          <w:sz w:val="32"/>
          <w:szCs w:val="32"/>
        </w:rPr>
      </w:pPr>
      <w:r>
        <w:rPr>
          <w:rFonts w:hint="eastAsia" w:ascii="仿宋_GB2312" w:hAnsi="Times New Roman" w:eastAsia="仿宋_GB2312" w:cs="Times New Roman"/>
          <w:kern w:val="0"/>
          <w:sz w:val="32"/>
          <w:szCs w:val="32"/>
        </w:rPr>
        <w:t>商品到货、安装、调试后，根据合同中有关技术要求和系统配置按清单验收。</w:t>
      </w:r>
    </w:p>
    <w:p>
      <w:pPr>
        <w:spacing w:line="579" w:lineRule="exact"/>
        <w:ind w:firstLine="643" w:firstLineChars="200"/>
        <w:rPr>
          <w:rFonts w:ascii="仿宋_GB2312" w:hAnsi="仿宋" w:eastAsia="仿宋_GB2312" w:cs="Times New Roman"/>
          <w:b/>
          <w:bCs/>
          <w:sz w:val="32"/>
          <w:szCs w:val="32"/>
        </w:rPr>
      </w:pPr>
      <w:r>
        <w:rPr>
          <w:rFonts w:hint="eastAsia" w:ascii="仿宋_GB2312" w:hAnsi="仿宋" w:eastAsia="仿宋_GB2312" w:cs="Times New Roman"/>
          <w:b/>
          <w:bCs/>
          <w:sz w:val="32"/>
          <w:szCs w:val="32"/>
        </w:rPr>
        <w:t>5.其他需要明确的技术要求</w:t>
      </w:r>
    </w:p>
    <w:p>
      <w:pPr>
        <w:widowControl/>
        <w:ind w:firstLine="640" w:firstLineChars="200"/>
        <w:jc w:val="left"/>
        <w:rPr>
          <w:rFonts w:ascii="黑体" w:hAnsi="黑体" w:eastAsia="黑体"/>
          <w:sz w:val="32"/>
          <w:szCs w:val="32"/>
        </w:rPr>
        <w:sectPr>
          <w:headerReference r:id="rId3" w:type="default"/>
          <w:footerReference r:id="rId5" w:type="default"/>
          <w:headerReference r:id="rId4" w:type="even"/>
          <w:footerReference r:id="rId6" w:type="even"/>
          <w:pgSz w:w="11906" w:h="16838"/>
          <w:pgMar w:top="2098" w:right="1474" w:bottom="1985" w:left="1588" w:header="851" w:footer="1434" w:gutter="0"/>
          <w:cols w:space="720" w:num="1"/>
          <w:docGrid w:type="lines" w:linePitch="435" w:charSpace="0"/>
        </w:sectPr>
      </w:pPr>
      <w:r>
        <w:rPr>
          <w:rFonts w:hint="eastAsia" w:ascii="仿宋_GB2312" w:hAnsi="仿宋" w:eastAsia="仿宋_GB2312" w:cs="Times New Roman"/>
          <w:sz w:val="32"/>
          <w:szCs w:val="32"/>
        </w:rPr>
        <w:t>无</w:t>
      </w:r>
    </w:p>
    <w:p>
      <w:pPr>
        <w:spacing w:line="560" w:lineRule="exact"/>
        <w:outlineLvl w:val="2"/>
        <w:rPr>
          <w:rFonts w:ascii="仿宋_GB2312" w:hAnsi="宋体" w:eastAsia="仿宋_GB2312" w:cs="Times New Roman"/>
          <w:b/>
          <w:bCs/>
          <w:kern w:val="0"/>
          <w:sz w:val="32"/>
          <w:szCs w:val="32"/>
        </w:rPr>
      </w:pPr>
      <w:r>
        <w:rPr>
          <w:rFonts w:hint="eastAsia" w:ascii="仿宋_GB2312" w:hAnsi="宋体" w:eastAsia="仿宋_GB2312" w:cs="Times New Roman"/>
          <w:b/>
          <w:bCs/>
          <w:kern w:val="0"/>
          <w:sz w:val="32"/>
          <w:szCs w:val="32"/>
        </w:rPr>
        <w:t>（二）经济要求</w:t>
      </w:r>
    </w:p>
    <w:p>
      <w:pPr>
        <w:overflowPunct w:val="0"/>
        <w:spacing w:line="530" w:lineRule="exact"/>
        <w:ind w:firstLine="643" w:firstLineChars="200"/>
        <w:rPr>
          <w:rFonts w:ascii="仿宋_GB2312" w:hAnsi="仿宋" w:eastAsia="仿宋_GB2312" w:cs="Times New Roman"/>
          <w:b/>
          <w:bCs/>
          <w:sz w:val="32"/>
          <w:szCs w:val="32"/>
        </w:rPr>
      </w:pPr>
      <w:r>
        <w:rPr>
          <w:rFonts w:hint="eastAsia" w:ascii="仿宋_GB2312" w:hAnsi="仿宋" w:eastAsia="仿宋_GB2312" w:cs="Times New Roman"/>
          <w:b/>
          <w:bCs/>
          <w:sz w:val="32"/>
          <w:szCs w:val="32"/>
        </w:rPr>
        <w:t>1.预算安排</w:t>
      </w:r>
    </w:p>
    <w:p>
      <w:pPr>
        <w:overflowPunct w:val="0"/>
        <w:spacing w:line="53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本次采购项目预算最高限价230万元，将全部用于标的内容采购。</w:t>
      </w:r>
    </w:p>
    <w:p>
      <w:pPr>
        <w:overflowPunct w:val="0"/>
        <w:spacing w:line="530" w:lineRule="exact"/>
        <w:ind w:firstLine="643" w:firstLineChars="200"/>
        <w:rPr>
          <w:rFonts w:ascii="仿宋_GB2312" w:hAnsi="仿宋" w:eastAsia="仿宋_GB2312" w:cs="Times New Roman"/>
          <w:b/>
          <w:bCs/>
          <w:sz w:val="32"/>
          <w:szCs w:val="32"/>
        </w:rPr>
      </w:pPr>
      <w:r>
        <w:rPr>
          <w:rFonts w:hint="eastAsia" w:ascii="仿宋_GB2312" w:hAnsi="仿宋" w:eastAsia="仿宋_GB2312" w:cs="Times New Roman"/>
          <w:b/>
          <w:bCs/>
          <w:sz w:val="32"/>
          <w:szCs w:val="32"/>
        </w:rPr>
        <w:t>2.标的数量</w:t>
      </w:r>
    </w:p>
    <w:p>
      <w:pPr>
        <w:overflowPunct w:val="0"/>
        <w:spacing w:line="53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采购数量：</w:t>
      </w:r>
      <w:r>
        <w:rPr>
          <w:rFonts w:ascii="仿宋_GB2312" w:hAnsi="仿宋" w:eastAsia="仿宋_GB2312" w:cs="Times New Roman"/>
          <w:sz w:val="32"/>
          <w:szCs w:val="32"/>
        </w:rPr>
        <w:t>3</w:t>
      </w:r>
      <w:r>
        <w:rPr>
          <w:rFonts w:hint="eastAsia" w:ascii="仿宋_GB2312" w:hAnsi="仿宋" w:eastAsia="仿宋_GB2312" w:cs="Times New Roman"/>
          <w:sz w:val="32"/>
          <w:szCs w:val="32"/>
        </w:rPr>
        <w:t>个模块</w:t>
      </w:r>
    </w:p>
    <w:p>
      <w:pPr>
        <w:overflowPunct w:val="0"/>
        <w:spacing w:line="530" w:lineRule="exact"/>
        <w:ind w:firstLine="643" w:firstLineChars="200"/>
        <w:rPr>
          <w:rFonts w:ascii="仿宋_GB2312" w:hAnsi="仿宋" w:eastAsia="仿宋_GB2312" w:cs="Times New Roman"/>
          <w:b/>
          <w:bCs/>
          <w:sz w:val="32"/>
          <w:szCs w:val="32"/>
        </w:rPr>
      </w:pPr>
      <w:r>
        <w:rPr>
          <w:rFonts w:hint="eastAsia" w:ascii="仿宋_GB2312" w:hAnsi="仿宋" w:eastAsia="仿宋_GB2312" w:cs="Times New Roman"/>
          <w:b/>
          <w:bCs/>
          <w:sz w:val="32"/>
          <w:szCs w:val="32"/>
        </w:rPr>
        <w:t>3.交付实施要求</w:t>
      </w:r>
    </w:p>
    <w:p>
      <w:pPr>
        <w:overflowPunct w:val="0"/>
        <w:spacing w:line="530" w:lineRule="exact"/>
        <w:ind w:firstLine="640" w:firstLineChars="200"/>
        <w:rPr>
          <w:rFonts w:ascii="仿宋_GB2312" w:hAnsi="仿宋" w:eastAsia="仿宋_GB2312" w:cs="Times New Roman"/>
          <w:sz w:val="32"/>
          <w:szCs w:val="32"/>
        </w:rPr>
      </w:pPr>
      <w:r>
        <w:rPr>
          <w:rFonts w:ascii="仿宋_GB2312" w:hAnsi="仿宋" w:eastAsia="仿宋_GB2312" w:cs="Times New Roman"/>
          <w:sz w:val="32"/>
          <w:szCs w:val="32"/>
        </w:rPr>
        <w:t>交货地点：</w:t>
      </w:r>
      <w:r>
        <w:rPr>
          <w:rFonts w:hint="eastAsia" w:ascii="仿宋_GB2312" w:hAnsi="仿宋" w:eastAsia="仿宋_GB2312" w:cs="Times New Roman"/>
          <w:sz w:val="32"/>
          <w:szCs w:val="32"/>
        </w:rPr>
        <w:t>陆军军医大学基础医学院基础医学教学实验中心</w:t>
      </w:r>
    </w:p>
    <w:p>
      <w:pPr>
        <w:overflowPunct w:val="0"/>
        <w:spacing w:line="530" w:lineRule="exact"/>
        <w:ind w:firstLine="640" w:firstLineChars="200"/>
        <w:rPr>
          <w:rFonts w:ascii="仿宋_GB2312" w:hAnsi="仿宋" w:eastAsia="仿宋_GB2312" w:cs="Times New Roman"/>
          <w:sz w:val="32"/>
          <w:szCs w:val="32"/>
        </w:rPr>
      </w:pPr>
      <w:r>
        <w:rPr>
          <w:rFonts w:ascii="仿宋_GB2312" w:hAnsi="仿宋" w:eastAsia="仿宋_GB2312" w:cs="Times New Roman"/>
          <w:sz w:val="32"/>
          <w:szCs w:val="32"/>
        </w:rPr>
        <w:t>交货期：产品于合同签订后</w:t>
      </w:r>
      <w:r>
        <w:rPr>
          <w:rFonts w:hint="eastAsia" w:ascii="仿宋_GB2312" w:hAnsi="仿宋" w:eastAsia="仿宋_GB2312" w:cs="Times New Roman"/>
          <w:sz w:val="32"/>
          <w:szCs w:val="32"/>
        </w:rPr>
        <w:t>90天</w:t>
      </w:r>
      <w:r>
        <w:rPr>
          <w:rFonts w:ascii="仿宋_GB2312" w:hAnsi="仿宋" w:eastAsia="仿宋_GB2312" w:cs="Times New Roman"/>
          <w:sz w:val="32"/>
          <w:szCs w:val="32"/>
        </w:rPr>
        <w:t>内到货并安装</w:t>
      </w:r>
      <w:r>
        <w:rPr>
          <w:rFonts w:hint="eastAsia" w:ascii="仿宋_GB2312" w:hAnsi="仿宋" w:eastAsia="仿宋_GB2312" w:cs="Times New Roman"/>
          <w:sz w:val="32"/>
          <w:szCs w:val="32"/>
        </w:rPr>
        <w:t>、调试</w:t>
      </w:r>
      <w:r>
        <w:rPr>
          <w:rFonts w:ascii="仿宋_GB2312" w:hAnsi="仿宋" w:eastAsia="仿宋_GB2312" w:cs="Times New Roman"/>
          <w:sz w:val="32"/>
          <w:szCs w:val="32"/>
        </w:rPr>
        <w:t>完成。</w:t>
      </w:r>
    </w:p>
    <w:p>
      <w:pPr>
        <w:overflowPunct w:val="0"/>
        <w:spacing w:line="530" w:lineRule="exact"/>
        <w:ind w:firstLine="640" w:firstLineChars="200"/>
        <w:rPr>
          <w:rFonts w:ascii="仿宋_GB2312" w:hAnsi="仿宋" w:eastAsia="仿宋_GB2312" w:cs="Times New Roman"/>
          <w:sz w:val="32"/>
          <w:szCs w:val="32"/>
        </w:rPr>
      </w:pPr>
      <w:r>
        <w:rPr>
          <w:rFonts w:ascii="仿宋_GB2312" w:hAnsi="仿宋" w:eastAsia="仿宋_GB2312" w:cs="Times New Roman"/>
          <w:sz w:val="32"/>
          <w:szCs w:val="32"/>
        </w:rPr>
        <w:t>交货方式：由中标供应商负责免费配送、安装、调试、培训等。</w:t>
      </w:r>
    </w:p>
    <w:p>
      <w:pPr>
        <w:overflowPunct w:val="0"/>
        <w:spacing w:line="530" w:lineRule="exact"/>
        <w:ind w:firstLine="643" w:firstLineChars="200"/>
        <w:rPr>
          <w:rFonts w:ascii="仿宋_GB2312" w:hAnsi="仿宋" w:eastAsia="仿宋_GB2312" w:cs="Times New Roman"/>
          <w:b/>
          <w:bCs/>
          <w:sz w:val="32"/>
          <w:szCs w:val="32"/>
        </w:rPr>
      </w:pPr>
      <w:r>
        <w:rPr>
          <w:rFonts w:hint="eastAsia" w:ascii="仿宋_GB2312" w:hAnsi="仿宋" w:eastAsia="仿宋_GB2312" w:cs="Times New Roman"/>
          <w:b/>
          <w:bCs/>
          <w:sz w:val="32"/>
          <w:szCs w:val="32"/>
        </w:rPr>
        <w:t>4.质量保证和售后服务</w:t>
      </w:r>
    </w:p>
    <w:p>
      <w:pPr>
        <w:overflowPunct w:val="0"/>
        <w:spacing w:line="530" w:lineRule="exact"/>
        <w:ind w:firstLine="640" w:firstLineChars="200"/>
        <w:rPr>
          <w:rFonts w:ascii="仿宋_GB2312" w:hAnsi="仿宋" w:eastAsia="仿宋_GB2312" w:cs="Times New Roman"/>
          <w:sz w:val="32"/>
          <w:szCs w:val="32"/>
        </w:rPr>
      </w:pPr>
      <w:r>
        <w:rPr>
          <w:rFonts w:ascii="仿宋_GB2312" w:hAnsi="仿宋" w:eastAsia="仿宋_GB2312" w:cs="Times New Roman"/>
          <w:sz w:val="32"/>
          <w:szCs w:val="32"/>
        </w:rPr>
        <w:t>质量保证：</w:t>
      </w:r>
      <w:r>
        <w:rPr>
          <w:rFonts w:hint="eastAsia" w:ascii="仿宋_GB2312" w:hAnsi="仿宋" w:eastAsia="仿宋_GB2312" w:cs="Times New Roman"/>
          <w:sz w:val="32"/>
          <w:szCs w:val="32"/>
        </w:rPr>
        <w:t>产品质保期2年。</w:t>
      </w:r>
    </w:p>
    <w:p>
      <w:pPr>
        <w:overflowPunct w:val="0"/>
        <w:spacing w:line="530" w:lineRule="exact"/>
        <w:ind w:firstLine="643" w:firstLineChars="200"/>
        <w:rPr>
          <w:rFonts w:ascii="仿宋_GB2312" w:hAnsi="仿宋" w:eastAsia="仿宋_GB2312" w:cs="Times New Roman"/>
          <w:b/>
          <w:bCs/>
          <w:sz w:val="32"/>
          <w:szCs w:val="32"/>
        </w:rPr>
      </w:pPr>
      <w:r>
        <w:rPr>
          <w:rFonts w:hint="eastAsia" w:ascii="仿宋_GB2312" w:hAnsi="仿宋" w:eastAsia="仿宋_GB2312" w:cs="Times New Roman"/>
          <w:b/>
          <w:bCs/>
          <w:sz w:val="32"/>
          <w:szCs w:val="32"/>
        </w:rPr>
        <w:t>5.付款条件</w:t>
      </w:r>
    </w:p>
    <w:p>
      <w:pPr>
        <w:overflowPunct w:val="0"/>
        <w:spacing w:line="530" w:lineRule="exact"/>
        <w:ind w:firstLine="640" w:firstLineChars="200"/>
        <w:rPr>
          <w:rFonts w:ascii="仿宋_GB2312" w:hAnsi="仿宋" w:eastAsia="仿宋_GB2312" w:cs="Times New Roman"/>
          <w:sz w:val="32"/>
          <w:szCs w:val="32"/>
        </w:rPr>
      </w:pPr>
      <w:r>
        <w:rPr>
          <w:rFonts w:ascii="仿宋_GB2312" w:hAnsi="仿宋" w:eastAsia="仿宋_GB2312" w:cs="Times New Roman"/>
          <w:sz w:val="32"/>
          <w:szCs w:val="32"/>
        </w:rPr>
        <w:t>本项目不预付货款，</w:t>
      </w:r>
      <w:r>
        <w:rPr>
          <w:rFonts w:hint="eastAsia" w:ascii="仿宋_GB2312" w:hAnsi="仿宋" w:eastAsia="仿宋_GB2312" w:cs="Times New Roman"/>
          <w:sz w:val="32"/>
          <w:szCs w:val="32"/>
        </w:rPr>
        <w:t>验收合格后支付合同价款的9</w:t>
      </w:r>
      <w:r>
        <w:rPr>
          <w:rFonts w:ascii="仿宋_GB2312" w:hAnsi="仿宋" w:eastAsia="仿宋_GB2312" w:cs="Times New Roman"/>
          <w:sz w:val="32"/>
          <w:szCs w:val="32"/>
        </w:rPr>
        <w:t>5%</w:t>
      </w:r>
      <w:r>
        <w:rPr>
          <w:rFonts w:hint="eastAsia" w:ascii="仿宋_GB2312" w:hAnsi="仿宋" w:eastAsia="仿宋_GB2312" w:cs="Times New Roman"/>
          <w:sz w:val="32"/>
          <w:szCs w:val="32"/>
        </w:rPr>
        <w:t>，质保期结束后支付合同价款的5</w:t>
      </w:r>
      <w:r>
        <w:rPr>
          <w:rFonts w:ascii="仿宋_GB2312" w:hAnsi="仿宋" w:eastAsia="仿宋_GB2312" w:cs="Times New Roman"/>
          <w:sz w:val="32"/>
          <w:szCs w:val="32"/>
        </w:rPr>
        <w:t>%。</w:t>
      </w:r>
    </w:p>
    <w:p>
      <w:pPr>
        <w:overflowPunct w:val="0"/>
        <w:spacing w:line="530" w:lineRule="exact"/>
        <w:ind w:firstLine="643" w:firstLineChars="200"/>
        <w:rPr>
          <w:rFonts w:ascii="仿宋_GB2312" w:hAnsi="仿宋" w:eastAsia="仿宋_GB2312" w:cs="Times New Roman"/>
          <w:b/>
          <w:bCs/>
          <w:sz w:val="32"/>
          <w:szCs w:val="32"/>
        </w:rPr>
      </w:pPr>
      <w:r>
        <w:rPr>
          <w:rFonts w:hint="eastAsia" w:ascii="仿宋_GB2312" w:hAnsi="仿宋" w:eastAsia="仿宋_GB2312" w:cs="Times New Roman"/>
          <w:b/>
          <w:bCs/>
          <w:sz w:val="32"/>
          <w:szCs w:val="32"/>
        </w:rPr>
        <w:t>6.包装、运输、专用工具、备品备件、报价要求、保险、</w:t>
      </w:r>
      <w:r>
        <w:rPr>
          <w:rFonts w:hint="eastAsia" w:ascii="仿宋_GB2312" w:hAnsi="Microsoft YaHei UI" w:eastAsia="仿宋_GB2312" w:cs="Microsoft YaHei UI"/>
          <w:b/>
          <w:bCs/>
          <w:spacing w:val="4"/>
          <w:sz w:val="32"/>
          <w:szCs w:val="32"/>
          <w:shd w:val="clear" w:color="auto" w:fill="FFFFFF"/>
        </w:rPr>
        <w:t>保密和专利</w:t>
      </w:r>
      <w:r>
        <w:rPr>
          <w:rFonts w:hint="eastAsia" w:ascii="仿宋_GB2312" w:hAnsi="仿宋" w:eastAsia="仿宋_GB2312" w:cs="Times New Roman"/>
          <w:b/>
          <w:bCs/>
          <w:sz w:val="32"/>
          <w:szCs w:val="32"/>
        </w:rPr>
        <w:t>等</w:t>
      </w:r>
    </w:p>
    <w:p>
      <w:pPr>
        <w:overflowPunct w:val="0"/>
        <w:spacing w:line="53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包装、运输、专用工具：由中标方无条件免费提供。</w:t>
      </w:r>
    </w:p>
    <w:p>
      <w:pPr>
        <w:overflowPunct w:val="0"/>
        <w:spacing w:line="53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报价要求、保险、保密和专利等要求：无。</w:t>
      </w:r>
    </w:p>
    <w:p>
      <w:pPr>
        <w:overflowPunct w:val="0"/>
        <w:spacing w:line="530" w:lineRule="exact"/>
        <w:ind w:firstLine="643" w:firstLineChars="200"/>
        <w:rPr>
          <w:rFonts w:ascii="仿宋_GB2312" w:hAnsi="仿宋" w:eastAsia="仿宋_GB2312" w:cs="Times New Roman"/>
          <w:b/>
          <w:bCs/>
          <w:sz w:val="32"/>
          <w:szCs w:val="32"/>
        </w:rPr>
      </w:pPr>
      <w:r>
        <w:rPr>
          <w:rFonts w:hint="eastAsia" w:ascii="仿宋_GB2312" w:hAnsi="仿宋" w:eastAsia="仿宋_GB2312" w:cs="Times New Roman"/>
          <w:b/>
          <w:bCs/>
          <w:sz w:val="32"/>
          <w:szCs w:val="32"/>
        </w:rPr>
        <w:t>7.打码标签</w:t>
      </w:r>
    </w:p>
    <w:p>
      <w:pPr>
        <w:overflowPunct w:val="0"/>
        <w:spacing w:line="53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1）乙方应当配合甲方完成合同内采购物资的编目编码工作，按照统一要求，提供物资相关数据信息，配合甲方做好编目数据采集工作。涉密信息应当按照国家、军队安全保密有关规定进行处理，确保不发生失泄密问题。</w:t>
      </w:r>
    </w:p>
    <w:p>
      <w:pPr>
        <w:overflowPunct w:val="0"/>
        <w:spacing w:line="53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（2）乙方应当按照统一要求在物资交付前完成打码贴签工作。</w:t>
      </w:r>
    </w:p>
    <w:p>
      <w:pPr>
        <w:overflowPunct w:val="0"/>
        <w:spacing w:line="53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（3）物资编目数据填报和打码贴签悄况，列入出厂验收、接收验收项目；编目数据、标识标签不符合规范要求的，验收不予通过，不得进入物资储存单位。乙方应当在7日内完成整改，重新协调甲方组织验收。</w:t>
      </w:r>
    </w:p>
    <w:p>
      <w:pPr>
        <w:overflowPunct w:val="0"/>
        <w:spacing w:line="530" w:lineRule="exact"/>
        <w:ind w:firstLine="643" w:firstLineChars="200"/>
        <w:rPr>
          <w:rFonts w:ascii="仿宋_GB2312" w:hAnsi="仿宋" w:eastAsia="仿宋_GB2312" w:cs="Times New Roman"/>
          <w:b/>
          <w:bCs/>
          <w:sz w:val="32"/>
          <w:szCs w:val="32"/>
        </w:rPr>
      </w:pPr>
      <w:r>
        <w:rPr>
          <w:rFonts w:hint="eastAsia" w:ascii="仿宋_GB2312" w:hAnsi="仿宋" w:eastAsia="仿宋_GB2312" w:cs="Times New Roman"/>
          <w:b/>
          <w:bCs/>
          <w:sz w:val="32"/>
          <w:szCs w:val="32"/>
        </w:rPr>
        <w:t>8.其他需要明确的事项</w:t>
      </w:r>
    </w:p>
    <w:p>
      <w:pPr>
        <w:overflowPunct w:val="0"/>
        <w:spacing w:line="53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无</w:t>
      </w:r>
    </w:p>
    <w:p>
      <w:pPr>
        <w:overflowPunct w:val="0"/>
        <w:spacing w:line="530" w:lineRule="exact"/>
        <w:ind w:firstLine="640" w:firstLineChars="200"/>
        <w:rPr>
          <w:rFonts w:ascii="仿宋_GB2312" w:hAnsi="仿宋" w:eastAsia="仿宋_GB2312" w:cs="Times New Roman"/>
          <w:sz w:val="32"/>
          <w:szCs w:val="32"/>
        </w:rPr>
      </w:pPr>
    </w:p>
    <w:p>
      <w:pPr>
        <w:spacing w:line="520" w:lineRule="exact"/>
        <w:outlineLvl w:val="1"/>
        <w:rPr>
          <w:rFonts w:ascii="仿宋_GB2312" w:hAnsi="宋体" w:eastAsia="仿宋_GB2312" w:cs="Times New Roman"/>
          <w:b/>
          <w:sz w:val="32"/>
          <w:szCs w:val="32"/>
        </w:rPr>
      </w:pPr>
      <w:r>
        <w:rPr>
          <w:rFonts w:hint="eastAsia" w:ascii="仿宋_GB2312" w:hAnsi="宋体" w:eastAsia="仿宋_GB2312" w:cs="Times New Roman"/>
          <w:b/>
          <w:sz w:val="32"/>
          <w:szCs w:val="32"/>
        </w:rPr>
        <w:t>（三）实施意见</w:t>
      </w:r>
    </w:p>
    <w:p>
      <w:pPr>
        <w:spacing w:line="560" w:lineRule="exact"/>
        <w:ind w:firstLine="643" w:firstLineChars="200"/>
        <w:outlineLvl w:val="2"/>
        <w:rPr>
          <w:rFonts w:ascii="仿宋_GB2312" w:hAnsi="宋体" w:eastAsia="仿宋_GB2312" w:cs="Times New Roman"/>
          <w:b/>
          <w:bCs/>
          <w:sz w:val="32"/>
          <w:szCs w:val="32"/>
        </w:rPr>
      </w:pPr>
      <w:r>
        <w:rPr>
          <w:rFonts w:hint="eastAsia" w:ascii="仿宋_GB2312" w:hAnsi="宋体" w:eastAsia="仿宋_GB2312" w:cs="Times New Roman"/>
          <w:b/>
          <w:bCs/>
          <w:sz w:val="32"/>
          <w:szCs w:val="32"/>
        </w:rPr>
        <w:t>1.供应商资格条件设定</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1.1</w:t>
      </w:r>
      <w:r>
        <w:rPr>
          <w:rFonts w:hint="eastAsia" w:ascii="仿宋_GB2312" w:hAnsi="仿宋_GB2312" w:eastAsia="仿宋_GB2312" w:cs="仿宋_GB2312"/>
          <w:spacing w:val="-6"/>
          <w:sz w:val="32"/>
          <w:szCs w:val="32"/>
        </w:rPr>
        <w:t>符合《中华人民共和国政府采购法》第二十二条资格条件</w:t>
      </w:r>
      <w:r>
        <w:rPr>
          <w:rFonts w:hint="eastAsia" w:ascii="仿宋_GB2312" w:hAnsi="仿宋_GB2312" w:eastAsia="仿宋_GB2312" w:cs="仿宋_GB2312"/>
          <w:sz w:val="32"/>
          <w:szCs w:val="32"/>
        </w:rPr>
        <w:t>。</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（1）具有独立承担民事责任的能力；</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（2）具有良好的商业信誉和健全的财务会计制度；</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（3）具有履行合同所必需的设备和专业技术能力；</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（4）有依法缴纳税收和社会保障资金的良好记录；</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（5）参加政府采购活动前3年内，在经营活动中没有重大违法记录；</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（6）法律、行政法规规定的其他条件。</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1.2国有企业；事业单位；军队单位；成立3年以上的非外资独资企业或控股企业。</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1.3单</w:t>
      </w:r>
      <w:r>
        <w:rPr>
          <w:rFonts w:hint="eastAsia" w:ascii="仿宋_GB2312" w:hAnsi="仿宋_GB2312" w:eastAsia="仿宋_GB2312" w:cs="仿宋_GB2312"/>
          <w:spacing w:val="-6"/>
          <w:sz w:val="32"/>
          <w:szCs w:val="32"/>
        </w:rPr>
        <w:t>位负责人为同一人或存在直接控股或管理关系的不同供应商，不得同时参加同一包的采购活动。生产场经营地址或注册登记地址为同一地址的不同生产型企业，股东和管理人员（法定代表人、董事或监事）之间存在近亲属或相互占股等关联关系的不同非国有销售型企业，也不得同时参加同一包的采购活动。近亲属指夫妻、直系血亲、三代以内旁系血亲或近姻亲关系。</w:t>
      </w:r>
    </w:p>
    <w:p>
      <w:pPr>
        <w:ind w:firstLine="640" w:firstLineChars="200"/>
        <w:rPr>
          <w:rFonts w:ascii="Times New Roman" w:hAnsi="Times New Roman" w:eastAsia="仿宋_GB2312" w:cs="Times New Roman"/>
          <w:sz w:val="32"/>
          <w:szCs w:val="32"/>
        </w:rPr>
      </w:pPr>
      <w:r>
        <w:rPr>
          <w:rFonts w:hint="eastAsia" w:ascii="仿宋_GB2312" w:hAnsi="仿宋_GB2312" w:eastAsia="仿宋_GB2312" w:cs="仿宋_GB2312"/>
          <w:sz w:val="32"/>
          <w:szCs w:val="32"/>
        </w:rPr>
        <w:t>1.4未被中</w:t>
      </w:r>
      <w:r>
        <w:rPr>
          <w:rFonts w:hint="eastAsia" w:ascii="仿宋_GB2312" w:hAnsi="Times New Roman" w:eastAsia="仿宋_GB2312" w:cs="Times New Roman"/>
          <w:sz w:val="32"/>
          <w:szCs w:val="32"/>
        </w:rPr>
        <w:t>国政府采购网（www.ccgp.gov.cn）列入政府采购严重违法失信行为记录名单，未在军队采购网（www.plap.mil.cn）军队采购暂停名单处罚范围内或军队采购失信名单禁入处罚期和处罚范围内，以及未被“信用中国”（www.creditchina.gov.cn）列入严重失信主体名单或国家企业信用信息公示系统（www.gsxt.gov.cn）列入严重违法失信名单（</w:t>
      </w:r>
      <w:r>
        <w:rPr>
          <w:rFonts w:ascii="Times New Roman" w:hAnsi="Times New Roman" w:eastAsia="仿宋_GB2312" w:cs="Times New Roman"/>
          <w:sz w:val="32"/>
          <w:szCs w:val="32"/>
        </w:rPr>
        <w:t>处罚期内）。</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1.5本项目不接受联合体投标。</w:t>
      </w:r>
    </w:p>
    <w:p>
      <w:pPr>
        <w:spacing w:line="560" w:lineRule="exact"/>
        <w:ind w:firstLine="643" w:firstLineChars="200"/>
        <w:outlineLvl w:val="2"/>
        <w:rPr>
          <w:rFonts w:ascii="仿宋_GB2312" w:hAnsi="宋体" w:eastAsia="仿宋_GB2312" w:cs="Times New Roman"/>
          <w:b/>
          <w:bCs/>
          <w:sz w:val="32"/>
          <w:szCs w:val="32"/>
        </w:rPr>
      </w:pPr>
      <w:r>
        <w:rPr>
          <w:rFonts w:hint="eastAsia" w:ascii="仿宋_GB2312" w:hAnsi="宋体" w:eastAsia="仿宋_GB2312" w:cs="Times New Roman"/>
          <w:b/>
          <w:bCs/>
          <w:sz w:val="32"/>
          <w:szCs w:val="32"/>
        </w:rPr>
        <w:t>2.样品评审（比测）组织</w:t>
      </w:r>
    </w:p>
    <w:p>
      <w:pPr>
        <w:spacing w:line="579" w:lineRule="exact"/>
        <w:ind w:firstLine="640" w:firstLineChars="200"/>
        <w:rPr>
          <w:rFonts w:ascii="仿宋_GB2312" w:hAnsi="仿宋_GB2312" w:eastAsia="仿宋_GB2312"/>
          <w:kern w:val="0"/>
          <w:sz w:val="32"/>
          <w:szCs w:val="32"/>
        </w:rPr>
      </w:pPr>
      <w:r>
        <w:rPr>
          <w:rFonts w:hint="eastAsia" w:ascii="仿宋_GB2312" w:hAnsi="仿宋_GB2312" w:eastAsia="仿宋_GB2312" w:cs="仿宋_GB2312"/>
          <w:kern w:val="0"/>
          <w:sz w:val="32"/>
          <w:szCs w:val="32"/>
        </w:rPr>
        <w:t>本项目无需组织原型测评。</w:t>
      </w:r>
    </w:p>
    <w:p>
      <w:pPr>
        <w:overflowPunct w:val="0"/>
        <w:spacing w:line="530" w:lineRule="exact"/>
        <w:ind w:firstLine="640" w:firstLineChars="200"/>
        <w:rPr>
          <w:rFonts w:ascii="仿宋_GB2312" w:hAnsi="仿宋" w:eastAsia="仿宋_GB2312" w:cs="Times New Roman"/>
          <w:sz w:val="32"/>
          <w:szCs w:val="32"/>
        </w:rPr>
      </w:pPr>
    </w:p>
    <w:p/>
    <w:p/>
    <w:p/>
    <w:p/>
    <w:p/>
    <w:sectPr>
      <w:headerReference r:id="rId7" w:type="default"/>
      <w:footerReference r:id="rId8" w:type="default"/>
      <w:pgSz w:w="11906" w:h="16838"/>
      <w:pgMar w:top="1440" w:right="1274"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Microsoft YaHei UI">
    <w:panose1 w:val="020B0503020204020204"/>
    <w:charset w:val="86"/>
    <w:family w:val="swiss"/>
    <w:pitch w:val="default"/>
    <w:sig w:usb0="80000287" w:usb1="2ACF3C50" w:usb2="00000016" w:usb3="00000000" w:csb0="0004001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jc w:val="right"/>
      <w:rPr>
        <w:rFonts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Times New Roman"/>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jc w:val="left"/>
      <w:rPr>
        <w:rFonts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Times New Roman"/>
        <w:sz w:val="28"/>
        <w:szCs w:val="28"/>
      </w:rPr>
      <w:t>18</w:t>
    </w:r>
    <w:r>
      <w:rPr>
        <w:rFonts w:hint="eastAsia" w:ascii="宋体" w:hAnsi="宋体" w:eastAsia="宋体" w:cs="宋体"/>
        <w:sz w:val="28"/>
        <w:szCs w:val="28"/>
      </w:rPr>
      <w:fldChar w:fldCharType="end"/>
    </w:r>
    <w:r>
      <w:rPr>
        <w:rFonts w:hint="eastAsia" w:ascii="宋体" w:hAnsi="宋体" w:eastAsia="宋体" w:cs="宋体"/>
        <w:sz w:val="28"/>
        <w:szCs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jc w:val="right"/>
      <w:rPr>
        <w:rFonts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sz w:val="28"/>
        <w:szCs w:val="28"/>
      </w:rPr>
      <w:t>44</w:t>
    </w:r>
    <w:r>
      <w:rPr>
        <w:rFonts w:hint="eastAsia" w:ascii="宋体" w:hAnsi="宋体" w:eastAsia="宋体" w:cs="宋体"/>
        <w:sz w:val="28"/>
        <w:szCs w:val="28"/>
      </w:rPr>
      <w:fldChar w:fldCharType="end"/>
    </w:r>
    <w:r>
      <w:rPr>
        <w:rFonts w:hint="eastAsia" w:ascii="宋体" w:hAnsi="宋体" w:eastAsia="宋体" w:cs="宋体"/>
        <w:sz w:val="28"/>
        <w:szCs w:val="28"/>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spacing w:line="320" w:lineRule="exact"/>
      <w:jc w:val="left"/>
      <w:rPr>
        <w:rFonts w:ascii="Times New Roman" w:hAnsi="Times New Roman" w:eastAsia="仿宋_GB2312" w:cs="Times New Roman"/>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1"/>
      </w:pBdr>
      <w:snapToGrid w:val="0"/>
      <w:jc w:val="center"/>
      <w:rPr>
        <w:rFonts w:ascii="Times New Roman" w:hAnsi="Times New Roman" w:eastAsia="仿宋_GB2312" w:cs="Times New Roman"/>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FhNzU5ZTc4YTNhNDJmMDI2ODk4ZGM0ZTBkMjg5ZjcifQ=="/>
  </w:docVars>
  <w:rsids>
    <w:rsidRoot w:val="007871A7"/>
    <w:rsid w:val="000005E0"/>
    <w:rsid w:val="00013EC6"/>
    <w:rsid w:val="00023DB2"/>
    <w:rsid w:val="000243F0"/>
    <w:rsid w:val="000346B0"/>
    <w:rsid w:val="0004198B"/>
    <w:rsid w:val="00045DC8"/>
    <w:rsid w:val="000468E3"/>
    <w:rsid w:val="000526AA"/>
    <w:rsid w:val="00052A53"/>
    <w:rsid w:val="00063B26"/>
    <w:rsid w:val="0008065D"/>
    <w:rsid w:val="00083A13"/>
    <w:rsid w:val="00085719"/>
    <w:rsid w:val="00093B38"/>
    <w:rsid w:val="00097B6F"/>
    <w:rsid w:val="000A2D4B"/>
    <w:rsid w:val="000A4EFE"/>
    <w:rsid w:val="000C5C88"/>
    <w:rsid w:val="000D5760"/>
    <w:rsid w:val="000F17BE"/>
    <w:rsid w:val="000F2D1F"/>
    <w:rsid w:val="0010469F"/>
    <w:rsid w:val="00107CCB"/>
    <w:rsid w:val="00113693"/>
    <w:rsid w:val="001138D7"/>
    <w:rsid w:val="00121D94"/>
    <w:rsid w:val="00123B7E"/>
    <w:rsid w:val="0013681F"/>
    <w:rsid w:val="00144F10"/>
    <w:rsid w:val="001676EE"/>
    <w:rsid w:val="00167BE1"/>
    <w:rsid w:val="0017701F"/>
    <w:rsid w:val="0017791A"/>
    <w:rsid w:val="00180E5A"/>
    <w:rsid w:val="001A03E9"/>
    <w:rsid w:val="001B1162"/>
    <w:rsid w:val="001B3B9A"/>
    <w:rsid w:val="001B67BE"/>
    <w:rsid w:val="001C6A09"/>
    <w:rsid w:val="001E1875"/>
    <w:rsid w:val="001F374D"/>
    <w:rsid w:val="002456EA"/>
    <w:rsid w:val="002650D6"/>
    <w:rsid w:val="00274BC5"/>
    <w:rsid w:val="00275AE0"/>
    <w:rsid w:val="00291AC1"/>
    <w:rsid w:val="002A02F2"/>
    <w:rsid w:val="002A32E7"/>
    <w:rsid w:val="002A3968"/>
    <w:rsid w:val="002B6331"/>
    <w:rsid w:val="002D4878"/>
    <w:rsid w:val="002D5CB4"/>
    <w:rsid w:val="002D7735"/>
    <w:rsid w:val="002E1A3E"/>
    <w:rsid w:val="002E7733"/>
    <w:rsid w:val="002F301F"/>
    <w:rsid w:val="0030028A"/>
    <w:rsid w:val="00335D14"/>
    <w:rsid w:val="003663A7"/>
    <w:rsid w:val="0037556B"/>
    <w:rsid w:val="00385B49"/>
    <w:rsid w:val="00394B89"/>
    <w:rsid w:val="003B3B98"/>
    <w:rsid w:val="003B7F32"/>
    <w:rsid w:val="003C3AA6"/>
    <w:rsid w:val="003D1BD1"/>
    <w:rsid w:val="003D39A8"/>
    <w:rsid w:val="003D79C1"/>
    <w:rsid w:val="003E4D28"/>
    <w:rsid w:val="003E6B7F"/>
    <w:rsid w:val="003E7511"/>
    <w:rsid w:val="003F237B"/>
    <w:rsid w:val="003F2CA7"/>
    <w:rsid w:val="003F769B"/>
    <w:rsid w:val="00406C17"/>
    <w:rsid w:val="00415222"/>
    <w:rsid w:val="0041566C"/>
    <w:rsid w:val="0043558F"/>
    <w:rsid w:val="00442830"/>
    <w:rsid w:val="004502A7"/>
    <w:rsid w:val="00461A0A"/>
    <w:rsid w:val="0048485C"/>
    <w:rsid w:val="00490776"/>
    <w:rsid w:val="004929F4"/>
    <w:rsid w:val="00494B83"/>
    <w:rsid w:val="004B168A"/>
    <w:rsid w:val="004B759B"/>
    <w:rsid w:val="004D581F"/>
    <w:rsid w:val="004E14F0"/>
    <w:rsid w:val="004E3CD8"/>
    <w:rsid w:val="004E7688"/>
    <w:rsid w:val="004F533B"/>
    <w:rsid w:val="00503802"/>
    <w:rsid w:val="00504B30"/>
    <w:rsid w:val="00510307"/>
    <w:rsid w:val="00511023"/>
    <w:rsid w:val="005176CD"/>
    <w:rsid w:val="00524155"/>
    <w:rsid w:val="00562F98"/>
    <w:rsid w:val="005718D9"/>
    <w:rsid w:val="00591C81"/>
    <w:rsid w:val="0059545B"/>
    <w:rsid w:val="00595B8C"/>
    <w:rsid w:val="005A1486"/>
    <w:rsid w:val="005B1682"/>
    <w:rsid w:val="005B665F"/>
    <w:rsid w:val="005C26A7"/>
    <w:rsid w:val="005D31B1"/>
    <w:rsid w:val="00604FCE"/>
    <w:rsid w:val="0062175B"/>
    <w:rsid w:val="00631348"/>
    <w:rsid w:val="00637DB5"/>
    <w:rsid w:val="006402E0"/>
    <w:rsid w:val="00646F0C"/>
    <w:rsid w:val="00656765"/>
    <w:rsid w:val="00656D9D"/>
    <w:rsid w:val="00671EBC"/>
    <w:rsid w:val="00671F00"/>
    <w:rsid w:val="00680935"/>
    <w:rsid w:val="006A4107"/>
    <w:rsid w:val="006A44BA"/>
    <w:rsid w:val="006A7AFB"/>
    <w:rsid w:val="006B2489"/>
    <w:rsid w:val="006E0ABF"/>
    <w:rsid w:val="006E22F3"/>
    <w:rsid w:val="006F1620"/>
    <w:rsid w:val="006F3E47"/>
    <w:rsid w:val="006F4D1E"/>
    <w:rsid w:val="007039C4"/>
    <w:rsid w:val="00710EEE"/>
    <w:rsid w:val="007123AC"/>
    <w:rsid w:val="00715B93"/>
    <w:rsid w:val="00734F58"/>
    <w:rsid w:val="00754FF7"/>
    <w:rsid w:val="00763495"/>
    <w:rsid w:val="00764B22"/>
    <w:rsid w:val="00766423"/>
    <w:rsid w:val="00773553"/>
    <w:rsid w:val="0077566E"/>
    <w:rsid w:val="00781AA4"/>
    <w:rsid w:val="0078299E"/>
    <w:rsid w:val="007871A7"/>
    <w:rsid w:val="007A3E4B"/>
    <w:rsid w:val="007B5215"/>
    <w:rsid w:val="007C2E12"/>
    <w:rsid w:val="007D462E"/>
    <w:rsid w:val="007E2DB5"/>
    <w:rsid w:val="008015DF"/>
    <w:rsid w:val="008024A5"/>
    <w:rsid w:val="00803E41"/>
    <w:rsid w:val="0080460C"/>
    <w:rsid w:val="00822C5B"/>
    <w:rsid w:val="00822C66"/>
    <w:rsid w:val="00836DE8"/>
    <w:rsid w:val="00837352"/>
    <w:rsid w:val="00840B69"/>
    <w:rsid w:val="00850B7A"/>
    <w:rsid w:val="00864FDC"/>
    <w:rsid w:val="00874B33"/>
    <w:rsid w:val="00874D19"/>
    <w:rsid w:val="008831AD"/>
    <w:rsid w:val="00887038"/>
    <w:rsid w:val="00890924"/>
    <w:rsid w:val="008A0E77"/>
    <w:rsid w:val="008A31EA"/>
    <w:rsid w:val="008A6F10"/>
    <w:rsid w:val="008B518B"/>
    <w:rsid w:val="008B5340"/>
    <w:rsid w:val="008C6216"/>
    <w:rsid w:val="008D0830"/>
    <w:rsid w:val="008D6288"/>
    <w:rsid w:val="008F3C7F"/>
    <w:rsid w:val="0091451A"/>
    <w:rsid w:val="009158C6"/>
    <w:rsid w:val="00925125"/>
    <w:rsid w:val="00926C41"/>
    <w:rsid w:val="009307FF"/>
    <w:rsid w:val="00942CB3"/>
    <w:rsid w:val="009509AD"/>
    <w:rsid w:val="00957369"/>
    <w:rsid w:val="0096135A"/>
    <w:rsid w:val="00971379"/>
    <w:rsid w:val="00972B74"/>
    <w:rsid w:val="00973A0B"/>
    <w:rsid w:val="0099140A"/>
    <w:rsid w:val="009954A5"/>
    <w:rsid w:val="009A03A4"/>
    <w:rsid w:val="009A517C"/>
    <w:rsid w:val="009A66A3"/>
    <w:rsid w:val="009C36F7"/>
    <w:rsid w:val="009C4E1F"/>
    <w:rsid w:val="009D5D34"/>
    <w:rsid w:val="009D6932"/>
    <w:rsid w:val="00A04BD1"/>
    <w:rsid w:val="00A05A96"/>
    <w:rsid w:val="00A2075B"/>
    <w:rsid w:val="00A24930"/>
    <w:rsid w:val="00A25DE0"/>
    <w:rsid w:val="00A429B3"/>
    <w:rsid w:val="00A4375D"/>
    <w:rsid w:val="00A467EF"/>
    <w:rsid w:val="00A5038C"/>
    <w:rsid w:val="00A74966"/>
    <w:rsid w:val="00A860F5"/>
    <w:rsid w:val="00A93698"/>
    <w:rsid w:val="00A96453"/>
    <w:rsid w:val="00AA2700"/>
    <w:rsid w:val="00AB0B78"/>
    <w:rsid w:val="00AB18A2"/>
    <w:rsid w:val="00AD1261"/>
    <w:rsid w:val="00AE4A25"/>
    <w:rsid w:val="00AF1D5F"/>
    <w:rsid w:val="00B11D2C"/>
    <w:rsid w:val="00B153E7"/>
    <w:rsid w:val="00B17B2C"/>
    <w:rsid w:val="00B42D2E"/>
    <w:rsid w:val="00B45FF6"/>
    <w:rsid w:val="00B55A3E"/>
    <w:rsid w:val="00B6058F"/>
    <w:rsid w:val="00B605E5"/>
    <w:rsid w:val="00B64D23"/>
    <w:rsid w:val="00B71AF2"/>
    <w:rsid w:val="00B86B5D"/>
    <w:rsid w:val="00B87C8B"/>
    <w:rsid w:val="00B92AD3"/>
    <w:rsid w:val="00B930D5"/>
    <w:rsid w:val="00BC15DC"/>
    <w:rsid w:val="00BC669E"/>
    <w:rsid w:val="00BD3A78"/>
    <w:rsid w:val="00BD3D17"/>
    <w:rsid w:val="00BD5DD1"/>
    <w:rsid w:val="00BD70EE"/>
    <w:rsid w:val="00C03627"/>
    <w:rsid w:val="00C0599B"/>
    <w:rsid w:val="00C14923"/>
    <w:rsid w:val="00C334DE"/>
    <w:rsid w:val="00C663FC"/>
    <w:rsid w:val="00C82516"/>
    <w:rsid w:val="00C91577"/>
    <w:rsid w:val="00C93E36"/>
    <w:rsid w:val="00C95D10"/>
    <w:rsid w:val="00CB0DF4"/>
    <w:rsid w:val="00CB3D42"/>
    <w:rsid w:val="00CB6A4C"/>
    <w:rsid w:val="00CB772D"/>
    <w:rsid w:val="00CC4718"/>
    <w:rsid w:val="00CF0050"/>
    <w:rsid w:val="00D02ED7"/>
    <w:rsid w:val="00D04D2C"/>
    <w:rsid w:val="00D079D1"/>
    <w:rsid w:val="00D60703"/>
    <w:rsid w:val="00D653D7"/>
    <w:rsid w:val="00D67537"/>
    <w:rsid w:val="00D71594"/>
    <w:rsid w:val="00D83357"/>
    <w:rsid w:val="00DA1F18"/>
    <w:rsid w:val="00DC7786"/>
    <w:rsid w:val="00E14195"/>
    <w:rsid w:val="00E22F6B"/>
    <w:rsid w:val="00E35570"/>
    <w:rsid w:val="00E37867"/>
    <w:rsid w:val="00E50790"/>
    <w:rsid w:val="00E55883"/>
    <w:rsid w:val="00E66918"/>
    <w:rsid w:val="00E873BA"/>
    <w:rsid w:val="00E96C56"/>
    <w:rsid w:val="00E97C11"/>
    <w:rsid w:val="00EA1B1E"/>
    <w:rsid w:val="00EA1B96"/>
    <w:rsid w:val="00EC422C"/>
    <w:rsid w:val="00ED0920"/>
    <w:rsid w:val="00ED543C"/>
    <w:rsid w:val="00ED78F8"/>
    <w:rsid w:val="00EE4551"/>
    <w:rsid w:val="00EF13AB"/>
    <w:rsid w:val="00EF18BE"/>
    <w:rsid w:val="00F115C0"/>
    <w:rsid w:val="00F20F2C"/>
    <w:rsid w:val="00F22D58"/>
    <w:rsid w:val="00F26BF4"/>
    <w:rsid w:val="00F27A4F"/>
    <w:rsid w:val="00F30BD8"/>
    <w:rsid w:val="00F34406"/>
    <w:rsid w:val="00F46744"/>
    <w:rsid w:val="00F50329"/>
    <w:rsid w:val="00F5093A"/>
    <w:rsid w:val="00F67C8E"/>
    <w:rsid w:val="00F74112"/>
    <w:rsid w:val="00F8154F"/>
    <w:rsid w:val="00F823B5"/>
    <w:rsid w:val="00F91F1F"/>
    <w:rsid w:val="00F942AF"/>
    <w:rsid w:val="00FA4648"/>
    <w:rsid w:val="00FD5A45"/>
    <w:rsid w:val="00FD67E7"/>
    <w:rsid w:val="00FE0CFF"/>
    <w:rsid w:val="00FF2F7B"/>
    <w:rsid w:val="01367179"/>
    <w:rsid w:val="01536131"/>
    <w:rsid w:val="018207C5"/>
    <w:rsid w:val="01CA3F1A"/>
    <w:rsid w:val="01CF0C9C"/>
    <w:rsid w:val="020C4532"/>
    <w:rsid w:val="034F0B7A"/>
    <w:rsid w:val="04293179"/>
    <w:rsid w:val="048760F2"/>
    <w:rsid w:val="05A01986"/>
    <w:rsid w:val="069E06D7"/>
    <w:rsid w:val="06A765D7"/>
    <w:rsid w:val="06D762A8"/>
    <w:rsid w:val="07DE3316"/>
    <w:rsid w:val="08470072"/>
    <w:rsid w:val="091F73DA"/>
    <w:rsid w:val="092959CA"/>
    <w:rsid w:val="09480F30"/>
    <w:rsid w:val="094E3682"/>
    <w:rsid w:val="09654497"/>
    <w:rsid w:val="0A04260D"/>
    <w:rsid w:val="0A1B5312"/>
    <w:rsid w:val="0A9F0F2B"/>
    <w:rsid w:val="0AB063A2"/>
    <w:rsid w:val="0B16599D"/>
    <w:rsid w:val="0BC559B7"/>
    <w:rsid w:val="0BF91683"/>
    <w:rsid w:val="0C5E3BDC"/>
    <w:rsid w:val="0CFD1647"/>
    <w:rsid w:val="0D4B23B2"/>
    <w:rsid w:val="0DE20BA1"/>
    <w:rsid w:val="0E206E39"/>
    <w:rsid w:val="0E4B63E2"/>
    <w:rsid w:val="0EDD37C3"/>
    <w:rsid w:val="0F7014AD"/>
    <w:rsid w:val="0F751969"/>
    <w:rsid w:val="0F8A150F"/>
    <w:rsid w:val="0FBD7376"/>
    <w:rsid w:val="0FED3255"/>
    <w:rsid w:val="1031745E"/>
    <w:rsid w:val="10801075"/>
    <w:rsid w:val="10935BD4"/>
    <w:rsid w:val="10B14C22"/>
    <w:rsid w:val="11697AFB"/>
    <w:rsid w:val="11807FE3"/>
    <w:rsid w:val="1332160B"/>
    <w:rsid w:val="143C2F92"/>
    <w:rsid w:val="14861F22"/>
    <w:rsid w:val="14A625C4"/>
    <w:rsid w:val="15A20FDE"/>
    <w:rsid w:val="15C56A7A"/>
    <w:rsid w:val="163A1216"/>
    <w:rsid w:val="168C0325"/>
    <w:rsid w:val="169E686A"/>
    <w:rsid w:val="178F7340"/>
    <w:rsid w:val="18055854"/>
    <w:rsid w:val="18A94431"/>
    <w:rsid w:val="18EB4A4A"/>
    <w:rsid w:val="19467ED2"/>
    <w:rsid w:val="19597C05"/>
    <w:rsid w:val="196A1E12"/>
    <w:rsid w:val="19F811CC"/>
    <w:rsid w:val="1A5F124B"/>
    <w:rsid w:val="1A5F2FF9"/>
    <w:rsid w:val="1B0736D7"/>
    <w:rsid w:val="1B3426D8"/>
    <w:rsid w:val="1B7D422F"/>
    <w:rsid w:val="1BBB4BA7"/>
    <w:rsid w:val="1BCD5FEE"/>
    <w:rsid w:val="1CAA7647"/>
    <w:rsid w:val="1CC574CB"/>
    <w:rsid w:val="1D67733D"/>
    <w:rsid w:val="1D9C4564"/>
    <w:rsid w:val="1DF27336"/>
    <w:rsid w:val="1DFC2242"/>
    <w:rsid w:val="1ED55F80"/>
    <w:rsid w:val="1F7A45E0"/>
    <w:rsid w:val="1F8359DC"/>
    <w:rsid w:val="1F866D56"/>
    <w:rsid w:val="1F925C1F"/>
    <w:rsid w:val="202251F5"/>
    <w:rsid w:val="204979A2"/>
    <w:rsid w:val="20B3409F"/>
    <w:rsid w:val="21025026"/>
    <w:rsid w:val="21DA38AD"/>
    <w:rsid w:val="21F804C4"/>
    <w:rsid w:val="2244163A"/>
    <w:rsid w:val="226A4C31"/>
    <w:rsid w:val="227B6E3E"/>
    <w:rsid w:val="23C0332D"/>
    <w:rsid w:val="23F23130"/>
    <w:rsid w:val="246A716A"/>
    <w:rsid w:val="24991787"/>
    <w:rsid w:val="249B37C8"/>
    <w:rsid w:val="249F17D3"/>
    <w:rsid w:val="24CA7C09"/>
    <w:rsid w:val="24E269B4"/>
    <w:rsid w:val="26811FF9"/>
    <w:rsid w:val="26CB08D0"/>
    <w:rsid w:val="26DE174A"/>
    <w:rsid w:val="27514612"/>
    <w:rsid w:val="2758470E"/>
    <w:rsid w:val="27AC35F6"/>
    <w:rsid w:val="284D302B"/>
    <w:rsid w:val="286554C6"/>
    <w:rsid w:val="28944322"/>
    <w:rsid w:val="2920604A"/>
    <w:rsid w:val="294206B6"/>
    <w:rsid w:val="298B5A4B"/>
    <w:rsid w:val="2A18099A"/>
    <w:rsid w:val="2A1C2CB5"/>
    <w:rsid w:val="2A781EB5"/>
    <w:rsid w:val="2A8F7F8F"/>
    <w:rsid w:val="2B531430"/>
    <w:rsid w:val="2BD934C3"/>
    <w:rsid w:val="2BDF5CEB"/>
    <w:rsid w:val="2CF06872"/>
    <w:rsid w:val="2D9E60D7"/>
    <w:rsid w:val="2DB66F7C"/>
    <w:rsid w:val="2E8D23D3"/>
    <w:rsid w:val="2ED2428A"/>
    <w:rsid w:val="2F5B2783"/>
    <w:rsid w:val="2F7D543B"/>
    <w:rsid w:val="2FB35604"/>
    <w:rsid w:val="30027A39"/>
    <w:rsid w:val="30275F10"/>
    <w:rsid w:val="3048315F"/>
    <w:rsid w:val="31102E48"/>
    <w:rsid w:val="31E962B0"/>
    <w:rsid w:val="325F4087"/>
    <w:rsid w:val="32A01FA9"/>
    <w:rsid w:val="32D663FF"/>
    <w:rsid w:val="330A7E94"/>
    <w:rsid w:val="333252F7"/>
    <w:rsid w:val="33574D5E"/>
    <w:rsid w:val="339935C8"/>
    <w:rsid w:val="340D18C0"/>
    <w:rsid w:val="34A22009"/>
    <w:rsid w:val="34AA2B13"/>
    <w:rsid w:val="34BC5490"/>
    <w:rsid w:val="35156C7E"/>
    <w:rsid w:val="352E7D40"/>
    <w:rsid w:val="36A27FE9"/>
    <w:rsid w:val="37076A9B"/>
    <w:rsid w:val="37F7BA61"/>
    <w:rsid w:val="387E2D8D"/>
    <w:rsid w:val="39131CE5"/>
    <w:rsid w:val="39F37825"/>
    <w:rsid w:val="39F67C4B"/>
    <w:rsid w:val="3A3B7187"/>
    <w:rsid w:val="3A7E7074"/>
    <w:rsid w:val="3AEF3ACE"/>
    <w:rsid w:val="3B586038"/>
    <w:rsid w:val="3BA048D6"/>
    <w:rsid w:val="3BB80364"/>
    <w:rsid w:val="3BC82C9D"/>
    <w:rsid w:val="3BFA6BCE"/>
    <w:rsid w:val="3CBB6992"/>
    <w:rsid w:val="3CC5312C"/>
    <w:rsid w:val="3CFC0724"/>
    <w:rsid w:val="3E1C72D0"/>
    <w:rsid w:val="3F404F15"/>
    <w:rsid w:val="3F43263A"/>
    <w:rsid w:val="3F7F1EE6"/>
    <w:rsid w:val="3FB3349B"/>
    <w:rsid w:val="3FBE7B70"/>
    <w:rsid w:val="3FCC6A38"/>
    <w:rsid w:val="40AF0771"/>
    <w:rsid w:val="4146669A"/>
    <w:rsid w:val="417E279D"/>
    <w:rsid w:val="419B675D"/>
    <w:rsid w:val="41D568B6"/>
    <w:rsid w:val="41FA16A1"/>
    <w:rsid w:val="42470EE3"/>
    <w:rsid w:val="427F63AB"/>
    <w:rsid w:val="42CE479E"/>
    <w:rsid w:val="43947908"/>
    <w:rsid w:val="43CE3B25"/>
    <w:rsid w:val="44125642"/>
    <w:rsid w:val="44307631"/>
    <w:rsid w:val="449D27EC"/>
    <w:rsid w:val="452F2236"/>
    <w:rsid w:val="45DC10F2"/>
    <w:rsid w:val="46076E12"/>
    <w:rsid w:val="465A6BE7"/>
    <w:rsid w:val="46AC563D"/>
    <w:rsid w:val="46DE5095"/>
    <w:rsid w:val="46EA56DB"/>
    <w:rsid w:val="47B9793D"/>
    <w:rsid w:val="496763F9"/>
    <w:rsid w:val="49787384"/>
    <w:rsid w:val="4A513E5D"/>
    <w:rsid w:val="4C7605BE"/>
    <w:rsid w:val="4D361AC0"/>
    <w:rsid w:val="4D3D2DBF"/>
    <w:rsid w:val="4D6C0FAE"/>
    <w:rsid w:val="4DB841F3"/>
    <w:rsid w:val="4DD3102D"/>
    <w:rsid w:val="4E1E5584"/>
    <w:rsid w:val="4F0F42E7"/>
    <w:rsid w:val="4F801FAA"/>
    <w:rsid w:val="4FC47104"/>
    <w:rsid w:val="4FE3167A"/>
    <w:rsid w:val="5008372D"/>
    <w:rsid w:val="50354221"/>
    <w:rsid w:val="504B439D"/>
    <w:rsid w:val="50A2159F"/>
    <w:rsid w:val="51683DC9"/>
    <w:rsid w:val="519A0A44"/>
    <w:rsid w:val="51F94284"/>
    <w:rsid w:val="520B5239"/>
    <w:rsid w:val="521A547C"/>
    <w:rsid w:val="538E1C7E"/>
    <w:rsid w:val="53C92EA4"/>
    <w:rsid w:val="53D77AC9"/>
    <w:rsid w:val="54105FA9"/>
    <w:rsid w:val="54387E3C"/>
    <w:rsid w:val="544F3B03"/>
    <w:rsid w:val="546B1FBF"/>
    <w:rsid w:val="54813591"/>
    <w:rsid w:val="54BE1E6E"/>
    <w:rsid w:val="55674E7D"/>
    <w:rsid w:val="566D64C3"/>
    <w:rsid w:val="567C6706"/>
    <w:rsid w:val="56DA4FD5"/>
    <w:rsid w:val="57CE2F91"/>
    <w:rsid w:val="57FF4AD3"/>
    <w:rsid w:val="5898150B"/>
    <w:rsid w:val="58ED4F64"/>
    <w:rsid w:val="59125CCD"/>
    <w:rsid w:val="59914276"/>
    <w:rsid w:val="5A405C9C"/>
    <w:rsid w:val="5A4C63EF"/>
    <w:rsid w:val="5ACE4E7E"/>
    <w:rsid w:val="5AED7BD2"/>
    <w:rsid w:val="5B0D2A4A"/>
    <w:rsid w:val="5B280C0A"/>
    <w:rsid w:val="5B857E0A"/>
    <w:rsid w:val="5BB57FC4"/>
    <w:rsid w:val="5BF47E9F"/>
    <w:rsid w:val="5C4C6B7A"/>
    <w:rsid w:val="5C6A7000"/>
    <w:rsid w:val="5CA80E8B"/>
    <w:rsid w:val="5D6A375C"/>
    <w:rsid w:val="5D6F5ACC"/>
    <w:rsid w:val="5DF6347D"/>
    <w:rsid w:val="5E055233"/>
    <w:rsid w:val="5E1831B8"/>
    <w:rsid w:val="5F424C1C"/>
    <w:rsid w:val="5F776541"/>
    <w:rsid w:val="5FB56512"/>
    <w:rsid w:val="6014399A"/>
    <w:rsid w:val="610C0686"/>
    <w:rsid w:val="61C3168D"/>
    <w:rsid w:val="62522A10"/>
    <w:rsid w:val="62A72D5C"/>
    <w:rsid w:val="634674B5"/>
    <w:rsid w:val="63F33E3E"/>
    <w:rsid w:val="64AC67FC"/>
    <w:rsid w:val="64C74A05"/>
    <w:rsid w:val="64EF3C84"/>
    <w:rsid w:val="65A215B9"/>
    <w:rsid w:val="664136E5"/>
    <w:rsid w:val="673E5311"/>
    <w:rsid w:val="675114E9"/>
    <w:rsid w:val="67C10CC9"/>
    <w:rsid w:val="68012F0F"/>
    <w:rsid w:val="6838196F"/>
    <w:rsid w:val="689478DF"/>
    <w:rsid w:val="691B0000"/>
    <w:rsid w:val="696A0640"/>
    <w:rsid w:val="699B2EEF"/>
    <w:rsid w:val="69BC5FCA"/>
    <w:rsid w:val="69D16911"/>
    <w:rsid w:val="69EB79D2"/>
    <w:rsid w:val="6A233F8B"/>
    <w:rsid w:val="6A9341A4"/>
    <w:rsid w:val="6ACF10A2"/>
    <w:rsid w:val="6B3158B9"/>
    <w:rsid w:val="6B673089"/>
    <w:rsid w:val="6BF72461"/>
    <w:rsid w:val="6C223D70"/>
    <w:rsid w:val="6CFD2511"/>
    <w:rsid w:val="6D2D3E5E"/>
    <w:rsid w:val="6D617FAC"/>
    <w:rsid w:val="6DF606F4"/>
    <w:rsid w:val="6E3B07FD"/>
    <w:rsid w:val="6E535802"/>
    <w:rsid w:val="6EAE5D06"/>
    <w:rsid w:val="6F2474E3"/>
    <w:rsid w:val="6F302529"/>
    <w:rsid w:val="70652415"/>
    <w:rsid w:val="714125CE"/>
    <w:rsid w:val="719C0973"/>
    <w:rsid w:val="723F6C66"/>
    <w:rsid w:val="7375030D"/>
    <w:rsid w:val="73D04618"/>
    <w:rsid w:val="7419028F"/>
    <w:rsid w:val="749E5641"/>
    <w:rsid w:val="74A0760B"/>
    <w:rsid w:val="74E93EF8"/>
    <w:rsid w:val="75173060"/>
    <w:rsid w:val="75386324"/>
    <w:rsid w:val="756E3266"/>
    <w:rsid w:val="75A269D8"/>
    <w:rsid w:val="762B73A9"/>
    <w:rsid w:val="764741E2"/>
    <w:rsid w:val="76D213DD"/>
    <w:rsid w:val="76E235ED"/>
    <w:rsid w:val="77A950A4"/>
    <w:rsid w:val="77EB54E8"/>
    <w:rsid w:val="78511348"/>
    <w:rsid w:val="787F5B21"/>
    <w:rsid w:val="78C46D30"/>
    <w:rsid w:val="78DD47D4"/>
    <w:rsid w:val="793C0FB8"/>
    <w:rsid w:val="7997722F"/>
    <w:rsid w:val="7A4647B1"/>
    <w:rsid w:val="7A747570"/>
    <w:rsid w:val="7C3961B3"/>
    <w:rsid w:val="7CE107C1"/>
    <w:rsid w:val="7D781125"/>
    <w:rsid w:val="7DC6513C"/>
    <w:rsid w:val="7EC93675"/>
    <w:rsid w:val="7ED00AED"/>
    <w:rsid w:val="7F1B7FBA"/>
    <w:rsid w:val="7F4E65E2"/>
    <w:rsid w:val="7F6406A7"/>
    <w:rsid w:val="7F8746E3"/>
    <w:rsid w:val="7FEC7837"/>
    <w:rsid w:val="983C58FE"/>
    <w:rsid w:val="BF2F3B23"/>
    <w:rsid w:val="C3E7B6C7"/>
    <w:rsid w:val="EBFD7011"/>
    <w:rsid w:val="FDCA88E5"/>
    <w:rsid w:val="FDF2B5D4"/>
    <w:rsid w:val="FFFDC5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4"/>
    <w:basedOn w:val="1"/>
    <w:next w:val="1"/>
    <w:link w:val="24"/>
    <w:autoRedefine/>
    <w:unhideWhenUsed/>
    <w:qFormat/>
    <w:uiPriority w:val="9"/>
    <w:pPr>
      <w:keepNext/>
      <w:keepLines/>
      <w:spacing w:before="280" w:after="290" w:line="372" w:lineRule="auto"/>
      <w:outlineLvl w:val="3"/>
    </w:pPr>
    <w:rPr>
      <w:rFonts w:ascii="Arial" w:hAnsi="Arial" w:eastAsia="黑体"/>
      <w:b/>
      <w:sz w:val="28"/>
    </w:rPr>
  </w:style>
  <w:style w:type="character" w:default="1" w:styleId="12">
    <w:name w:val="Default Paragraph Font"/>
    <w:autoRedefine/>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autoRedefine/>
    <w:qFormat/>
    <w:uiPriority w:val="0"/>
    <w:pPr>
      <w:spacing w:after="120"/>
    </w:pPr>
  </w:style>
  <w:style w:type="paragraph" w:styleId="4">
    <w:name w:val="Normal Indent"/>
    <w:basedOn w:val="1"/>
    <w:autoRedefine/>
    <w:qFormat/>
    <w:uiPriority w:val="0"/>
    <w:pPr>
      <w:autoSpaceDE w:val="0"/>
      <w:autoSpaceDN w:val="0"/>
      <w:adjustRightInd w:val="0"/>
      <w:ind w:firstLine="420"/>
      <w:jc w:val="left"/>
    </w:pPr>
    <w:rPr>
      <w:sz w:val="24"/>
    </w:rPr>
  </w:style>
  <w:style w:type="paragraph" w:styleId="5">
    <w:name w:val="annotation text"/>
    <w:basedOn w:val="1"/>
    <w:link w:val="17"/>
    <w:autoRedefine/>
    <w:semiHidden/>
    <w:unhideWhenUsed/>
    <w:qFormat/>
    <w:uiPriority w:val="99"/>
    <w:pPr>
      <w:jc w:val="left"/>
    </w:pPr>
  </w:style>
  <w:style w:type="paragraph" w:styleId="6">
    <w:name w:val="Balloon Text"/>
    <w:basedOn w:val="1"/>
    <w:link w:val="19"/>
    <w:autoRedefine/>
    <w:semiHidden/>
    <w:unhideWhenUsed/>
    <w:qFormat/>
    <w:uiPriority w:val="99"/>
    <w:rPr>
      <w:sz w:val="18"/>
      <w:szCs w:val="18"/>
    </w:rPr>
  </w:style>
  <w:style w:type="paragraph" w:styleId="7">
    <w:name w:val="footer"/>
    <w:basedOn w:val="1"/>
    <w:link w:val="15"/>
    <w:autoRedefine/>
    <w:unhideWhenUsed/>
    <w:qFormat/>
    <w:uiPriority w:val="99"/>
    <w:pPr>
      <w:tabs>
        <w:tab w:val="center" w:pos="4153"/>
        <w:tab w:val="right" w:pos="8306"/>
      </w:tabs>
      <w:snapToGrid w:val="0"/>
      <w:jc w:val="left"/>
    </w:pPr>
    <w:rPr>
      <w:sz w:val="18"/>
      <w:szCs w:val="18"/>
    </w:rPr>
  </w:style>
  <w:style w:type="paragraph" w:styleId="8">
    <w:name w:val="header"/>
    <w:basedOn w:val="1"/>
    <w:link w:val="14"/>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annotation subject"/>
    <w:basedOn w:val="5"/>
    <w:next w:val="5"/>
    <w:link w:val="18"/>
    <w:autoRedefine/>
    <w:semiHidden/>
    <w:unhideWhenUsed/>
    <w:qFormat/>
    <w:uiPriority w:val="99"/>
    <w:rPr>
      <w:b/>
      <w:bCs/>
    </w:rPr>
  </w:style>
  <w:style w:type="table" w:styleId="11">
    <w:name w:val="Table Grid"/>
    <w:basedOn w:val="10"/>
    <w:autoRedefine/>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annotation reference"/>
    <w:basedOn w:val="12"/>
    <w:autoRedefine/>
    <w:semiHidden/>
    <w:unhideWhenUsed/>
    <w:qFormat/>
    <w:uiPriority w:val="99"/>
    <w:rPr>
      <w:sz w:val="21"/>
      <w:szCs w:val="21"/>
    </w:rPr>
  </w:style>
  <w:style w:type="character" w:customStyle="1" w:styleId="14">
    <w:name w:val="页眉 字符"/>
    <w:basedOn w:val="12"/>
    <w:link w:val="8"/>
    <w:autoRedefine/>
    <w:qFormat/>
    <w:uiPriority w:val="99"/>
    <w:rPr>
      <w:sz w:val="18"/>
      <w:szCs w:val="18"/>
    </w:rPr>
  </w:style>
  <w:style w:type="character" w:customStyle="1" w:styleId="15">
    <w:name w:val="页脚 字符"/>
    <w:basedOn w:val="12"/>
    <w:link w:val="7"/>
    <w:autoRedefine/>
    <w:qFormat/>
    <w:uiPriority w:val="99"/>
    <w:rPr>
      <w:sz w:val="18"/>
      <w:szCs w:val="18"/>
    </w:rPr>
  </w:style>
  <w:style w:type="paragraph" w:styleId="16">
    <w:name w:val="List Paragraph"/>
    <w:basedOn w:val="1"/>
    <w:autoRedefine/>
    <w:qFormat/>
    <w:uiPriority w:val="34"/>
    <w:pPr>
      <w:ind w:firstLine="420" w:firstLineChars="200"/>
    </w:pPr>
  </w:style>
  <w:style w:type="character" w:customStyle="1" w:styleId="17">
    <w:name w:val="批注文字 字符"/>
    <w:basedOn w:val="12"/>
    <w:link w:val="5"/>
    <w:autoRedefine/>
    <w:semiHidden/>
    <w:qFormat/>
    <w:uiPriority w:val="99"/>
    <w:rPr>
      <w:kern w:val="2"/>
      <w:sz w:val="21"/>
      <w:szCs w:val="22"/>
    </w:rPr>
  </w:style>
  <w:style w:type="character" w:customStyle="1" w:styleId="18">
    <w:name w:val="批注主题 字符"/>
    <w:basedOn w:val="17"/>
    <w:link w:val="9"/>
    <w:autoRedefine/>
    <w:semiHidden/>
    <w:qFormat/>
    <w:uiPriority w:val="99"/>
    <w:rPr>
      <w:b/>
      <w:bCs/>
      <w:kern w:val="2"/>
      <w:sz w:val="21"/>
      <w:szCs w:val="22"/>
    </w:rPr>
  </w:style>
  <w:style w:type="character" w:customStyle="1" w:styleId="19">
    <w:name w:val="批注框文本 字符"/>
    <w:basedOn w:val="12"/>
    <w:link w:val="6"/>
    <w:autoRedefine/>
    <w:semiHidden/>
    <w:qFormat/>
    <w:uiPriority w:val="99"/>
    <w:rPr>
      <w:kern w:val="2"/>
      <w:sz w:val="18"/>
      <w:szCs w:val="18"/>
    </w:rPr>
  </w:style>
  <w:style w:type="paragraph" w:customStyle="1" w:styleId="20">
    <w:name w:val="_Style 1"/>
    <w:basedOn w:val="1"/>
    <w:autoRedefine/>
    <w:qFormat/>
    <w:uiPriority w:val="34"/>
    <w:pPr>
      <w:ind w:firstLine="420" w:firstLineChars="200"/>
    </w:pPr>
    <w:rPr>
      <w:szCs w:val="24"/>
    </w:rPr>
  </w:style>
  <w:style w:type="paragraph" w:customStyle="1" w:styleId="21">
    <w:name w:val="_Style 17"/>
    <w:basedOn w:val="1"/>
    <w:autoRedefine/>
    <w:qFormat/>
    <w:uiPriority w:val="34"/>
    <w:pPr>
      <w:ind w:firstLine="420" w:firstLineChars="200"/>
    </w:pPr>
    <w:rPr>
      <w:rFonts w:ascii="Calibri" w:hAnsi="Calibri"/>
    </w:rPr>
  </w:style>
  <w:style w:type="paragraph" w:customStyle="1" w:styleId="22">
    <w:name w:val="表格文字"/>
    <w:autoRedefine/>
    <w:qFormat/>
    <w:uiPriority w:val="0"/>
    <w:pPr>
      <w:widowControl w:val="0"/>
      <w:spacing w:before="25" w:after="25"/>
    </w:pPr>
    <w:rPr>
      <w:rFonts w:ascii="Times New Roman" w:hAnsi="Times New Roman" w:eastAsia="宋体" w:cs="Times New Roman"/>
      <w:bCs/>
      <w:spacing w:val="10"/>
      <w:sz w:val="24"/>
      <w:lang w:val="en-US" w:eastAsia="zh-CN" w:bidi="ar-SA"/>
    </w:rPr>
  </w:style>
  <w:style w:type="paragraph" w:customStyle="1" w:styleId="23">
    <w:name w:val="正文格式"/>
    <w:autoRedefine/>
    <w:qFormat/>
    <w:uiPriority w:val="99"/>
    <w:pPr>
      <w:widowControl w:val="0"/>
      <w:snapToGrid w:val="0"/>
      <w:spacing w:line="579" w:lineRule="exact"/>
      <w:ind w:firstLine="560" w:firstLineChars="200"/>
      <w:jc w:val="both"/>
    </w:pPr>
    <w:rPr>
      <w:rFonts w:ascii="仿宋_GB2312" w:hAnsi="Times New Roman" w:eastAsia="仿宋_GB2312" w:cs="Times New Roman"/>
      <w:sz w:val="28"/>
      <w:szCs w:val="28"/>
      <w:lang w:val="en-US" w:eastAsia="zh-CN" w:bidi="ar-SA"/>
    </w:rPr>
  </w:style>
  <w:style w:type="character" w:customStyle="1" w:styleId="24">
    <w:name w:val="标题 4 字符"/>
    <w:basedOn w:val="12"/>
    <w:link w:val="3"/>
    <w:autoRedefine/>
    <w:qFormat/>
    <w:uiPriority w:val="9"/>
    <w:rPr>
      <w:rFonts w:ascii="Arial" w:hAnsi="Arial" w:eastAsia="黑体"/>
      <w:b/>
      <w:kern w:val="2"/>
      <w:sz w:val="28"/>
      <w:szCs w:val="22"/>
    </w:rPr>
  </w:style>
  <w:style w:type="paragraph" w:customStyle="1" w:styleId="25">
    <w:name w:val="Revision"/>
    <w:autoRedefine/>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43</Pages>
  <Words>7880</Words>
  <Characters>8117</Characters>
  <Lines>427</Lines>
  <Paragraphs>192</Paragraphs>
  <TotalTime>1</TotalTime>
  <ScaleCrop>false</ScaleCrop>
  <LinksUpToDate>false</LinksUpToDate>
  <CharactersWithSpaces>15805</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2024-01-05T01:39:00Z</dcterms:created>
  <dc:creator>123</dc:creator>
  <cp:lastModifiedBy>Administrator</cp:lastModifiedBy>
  <cp:lastPrinted>2020-08-14T02:05:00Z</cp:lastPrinted>
  <dcterms:modified xsi:type="dcterms:W3CDTF">2024-01-10T07:21:51Z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2B2176F2510641899BD971F576D44D9A_12</vt:lpwstr>
  </property>
</Properties>
</file>