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overflowPunct w:val="0"/>
        <w:spacing w:line="570" w:lineRule="exact"/>
        <w:rPr>
          <w:rFonts w:ascii="黑体" w:hAnsi="黑体" w:eastAsia="黑体" w:cs="宋体"/>
          <w:sz w:val="32"/>
          <w:szCs w:val="48"/>
        </w:rPr>
      </w:pPr>
      <w:r>
        <w:rPr>
          <w:rFonts w:hint="eastAsia" w:ascii="黑体" w:hAnsi="黑体" w:eastAsia="黑体" w:cs="宋体"/>
          <w:sz w:val="32"/>
          <w:szCs w:val="48"/>
        </w:rPr>
        <w:t>附件1</w:t>
      </w:r>
    </w:p>
    <w:p>
      <w:pPr>
        <w:pBdr>
          <w:top w:val="none" w:color="auto" w:sz="0" w:space="1"/>
          <w:left w:val="none" w:color="auto" w:sz="0" w:space="4"/>
          <w:bottom w:val="none" w:color="auto" w:sz="0" w:space="1"/>
          <w:right w:val="none" w:color="auto" w:sz="0" w:space="4"/>
        </w:pBdr>
        <w:overflowPunct w:val="0"/>
        <w:spacing w:before="221" w:beforeLines="50" w:after="221"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采购需求明细表</w:t>
      </w:r>
    </w:p>
    <w:p>
      <w:pPr>
        <w:pBdr>
          <w:top w:val="none" w:color="auto" w:sz="0" w:space="1"/>
          <w:left w:val="none" w:color="auto" w:sz="0" w:space="4"/>
          <w:bottom w:val="none" w:color="auto" w:sz="0" w:space="1"/>
          <w:right w:val="none" w:color="auto" w:sz="0" w:space="4"/>
        </w:pBdr>
        <w:overflowPunct w:val="0"/>
        <w:spacing w:before="221" w:beforeLines="50" w:after="221" w:afterLines="50" w:line="570" w:lineRule="exact"/>
        <w:rPr>
          <w:rFonts w:ascii="仿宋_GB2312" w:hAnsi="仿宋" w:eastAsia="仿宋_GB2312"/>
          <w:sz w:val="24"/>
          <w:szCs w:val="44"/>
        </w:rPr>
      </w:pPr>
    </w:p>
    <w:tbl>
      <w:tblPr>
        <w:tblStyle w:val="8"/>
        <w:tblW w:w="13021"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72"/>
        <w:gridCol w:w="743"/>
        <w:gridCol w:w="743"/>
        <w:gridCol w:w="1300"/>
        <w:gridCol w:w="1115"/>
        <w:gridCol w:w="1114"/>
        <w:gridCol w:w="1486"/>
        <w:gridCol w:w="1486"/>
        <w:gridCol w:w="111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61"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672"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项目及</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品种名称</w:t>
            </w:r>
          </w:p>
        </w:tc>
        <w:tc>
          <w:tcPr>
            <w:tcW w:w="743"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计量</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单位</w:t>
            </w:r>
          </w:p>
        </w:tc>
        <w:tc>
          <w:tcPr>
            <w:tcW w:w="743"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采购</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数量</w:t>
            </w:r>
          </w:p>
        </w:tc>
        <w:tc>
          <w:tcPr>
            <w:tcW w:w="1300"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单价</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（元）</w:t>
            </w:r>
          </w:p>
        </w:tc>
        <w:tc>
          <w:tcPr>
            <w:tcW w:w="1115"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预算</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金额</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 w:val="18"/>
                <w:szCs w:val="18"/>
              </w:rPr>
              <w:t>（万元）</w:t>
            </w:r>
          </w:p>
        </w:tc>
        <w:tc>
          <w:tcPr>
            <w:tcW w:w="1114"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最高</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限价</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 w:val="18"/>
                <w:szCs w:val="18"/>
              </w:rPr>
              <w:t>（万元）</w:t>
            </w:r>
          </w:p>
        </w:tc>
        <w:tc>
          <w:tcPr>
            <w:tcW w:w="1486"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交付</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（实施）</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时间</w:t>
            </w:r>
          </w:p>
        </w:tc>
        <w:tc>
          <w:tcPr>
            <w:tcW w:w="1486"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采购</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方式</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建议</w:t>
            </w:r>
          </w:p>
        </w:tc>
        <w:tc>
          <w:tcPr>
            <w:tcW w:w="1115"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推荐</w:t>
            </w:r>
          </w:p>
          <w:p>
            <w:pPr>
              <w:pBdr>
                <w:top w:val="none" w:color="auto" w:sz="0" w:space="1"/>
                <w:left w:val="none" w:color="auto" w:sz="0" w:space="4"/>
                <w:bottom w:val="none" w:color="auto" w:sz="0" w:space="1"/>
                <w:right w:val="none" w:color="auto" w:sz="0" w:space="4"/>
              </w:pBdr>
              <w:overflowPunct w:val="0"/>
              <w:spacing w:line="3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供应商</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名称</w:t>
            </w:r>
          </w:p>
        </w:tc>
        <w:tc>
          <w:tcPr>
            <w:tcW w:w="1486"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61"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672"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光电缆工程</w:t>
            </w:r>
          </w:p>
        </w:tc>
        <w:tc>
          <w:tcPr>
            <w:tcW w:w="743" w:type="dxa"/>
            <w:vAlign w:val="center"/>
          </w:tcPr>
          <w:p>
            <w:pPr>
              <w:pBdr>
                <w:top w:val="none" w:color="auto" w:sz="0" w:space="1"/>
                <w:left w:val="none" w:color="auto" w:sz="0" w:space="4"/>
                <w:bottom w:val="none" w:color="auto" w:sz="0" w:space="1"/>
                <w:right w:val="none" w:color="auto" w:sz="0" w:space="4"/>
              </w:pBdr>
              <w:spacing w:line="3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批</w:t>
            </w:r>
          </w:p>
        </w:tc>
        <w:tc>
          <w:tcPr>
            <w:tcW w:w="743" w:type="dxa"/>
            <w:vAlign w:val="center"/>
          </w:tcPr>
          <w:p>
            <w:pPr>
              <w:pBdr>
                <w:top w:val="none" w:color="auto" w:sz="0" w:space="1"/>
                <w:left w:val="none" w:color="auto" w:sz="0" w:space="4"/>
                <w:bottom w:val="none" w:color="auto" w:sz="0" w:space="1"/>
                <w:right w:val="none" w:color="auto" w:sz="0" w:space="4"/>
              </w:pBdr>
              <w:spacing w:line="32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w:t>
            </w:r>
          </w:p>
        </w:tc>
        <w:tc>
          <w:tcPr>
            <w:tcW w:w="1300"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600000</w:t>
            </w:r>
          </w:p>
        </w:tc>
        <w:tc>
          <w:tcPr>
            <w:tcW w:w="1115"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60</w:t>
            </w:r>
          </w:p>
        </w:tc>
        <w:tc>
          <w:tcPr>
            <w:tcW w:w="1114"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60</w:t>
            </w:r>
          </w:p>
        </w:tc>
        <w:tc>
          <w:tcPr>
            <w:tcW w:w="1486"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2024.12.31</w:t>
            </w:r>
          </w:p>
        </w:tc>
        <w:tc>
          <w:tcPr>
            <w:tcW w:w="1486"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公开招标</w:t>
            </w:r>
          </w:p>
        </w:tc>
        <w:tc>
          <w:tcPr>
            <w:tcW w:w="1115"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486" w:type="dxa"/>
            <w:vAlign w:val="center"/>
          </w:tcPr>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kern w:val="0"/>
                <w:szCs w:val="21"/>
              </w:rPr>
            </w:pPr>
          </w:p>
        </w:tc>
      </w:tr>
    </w:tbl>
    <w:p>
      <w:pPr>
        <w:rPr>
          <w:rFonts w:eastAsia="黑体"/>
          <w:kern w:val="0"/>
          <w:sz w:val="32"/>
          <w:szCs w:val="32"/>
        </w:rPr>
        <w:sectPr>
          <w:footerReference r:id="rId3" w:type="default"/>
          <w:pgSz w:w="16838" w:h="11906" w:orient="landscape"/>
          <w:pgMar w:top="1588" w:right="1418" w:bottom="1474" w:left="1418" w:header="567" w:footer="992" w:gutter="0"/>
          <w:cols w:space="425" w:num="1"/>
          <w:docGrid w:type="lines" w:linePitch="437" w:charSpace="0"/>
        </w:sectPr>
      </w:pPr>
    </w:p>
    <w:p>
      <w:pPr>
        <w:rPr>
          <w:rFonts w:eastAsia="黑体"/>
          <w:kern w:val="0"/>
          <w:sz w:val="32"/>
          <w:szCs w:val="32"/>
        </w:rPr>
      </w:pPr>
      <w:r>
        <w:rPr>
          <w:rFonts w:eastAsia="黑体"/>
          <w:kern w:val="0"/>
          <w:sz w:val="32"/>
          <w:szCs w:val="32"/>
        </w:rPr>
        <w:t>附件2</w:t>
      </w:r>
    </w:p>
    <w:p>
      <w:pPr>
        <w:wordWrap w:val="0"/>
        <w:spacing w:line="579" w:lineRule="exact"/>
        <w:jc w:val="center"/>
        <w:rPr>
          <w:rFonts w:eastAsia="黑体"/>
          <w:kern w:val="0"/>
          <w:sz w:val="32"/>
          <w:szCs w:val="32"/>
        </w:rPr>
      </w:pPr>
      <w:r>
        <w:rPr>
          <w:rFonts w:hint="eastAsia" w:eastAsia="黑体"/>
          <w:kern w:val="0"/>
          <w:sz w:val="32"/>
          <w:szCs w:val="32"/>
        </w:rPr>
        <w:t>技术要求</w:t>
      </w:r>
    </w:p>
    <w:p>
      <w:pPr>
        <w:keepNext w:val="0"/>
        <w:keepLines w:val="0"/>
        <w:pageBreakBefore w:val="0"/>
        <w:widowControl/>
        <w:numPr>
          <w:ilvl w:val="0"/>
          <w:numId w:val="1"/>
        </w:numPr>
        <w:kinsoku/>
        <w:wordWrap/>
        <w:overflowPunct/>
        <w:topLinePunct w:val="0"/>
        <w:autoSpaceDE/>
        <w:autoSpaceDN/>
        <w:bidi w:val="0"/>
        <w:adjustRightInd/>
        <w:snapToGrid/>
        <w:spacing w:before="240" w:after="60" w:line="579" w:lineRule="exact"/>
        <w:ind w:left="782"/>
        <w:textAlignment w:val="auto"/>
        <w:outlineLvl w:val="0"/>
        <w:rPr>
          <w:rFonts w:hint="eastAsia" w:ascii="黑体" w:hAnsi="黑体" w:eastAsia="黑体" w:cstheme="minorBidi"/>
          <w:sz w:val="32"/>
          <w:szCs w:val="32"/>
        </w:rPr>
      </w:pPr>
      <w:r>
        <w:rPr>
          <w:rFonts w:hint="eastAsia" w:ascii="黑体" w:hAnsi="黑体" w:eastAsia="黑体" w:cstheme="minorBidi"/>
          <w:sz w:val="32"/>
          <w:szCs w:val="32"/>
        </w:rPr>
        <w:t>项目名称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光电缆工程</w:t>
      </w:r>
    </w:p>
    <w:p>
      <w:pPr>
        <w:keepNext w:val="0"/>
        <w:keepLines w:val="0"/>
        <w:pageBreakBefore w:val="0"/>
        <w:widowControl/>
        <w:numPr>
          <w:ilvl w:val="0"/>
          <w:numId w:val="1"/>
        </w:numPr>
        <w:kinsoku/>
        <w:wordWrap/>
        <w:overflowPunct/>
        <w:topLinePunct w:val="0"/>
        <w:autoSpaceDE/>
        <w:autoSpaceDN/>
        <w:bidi w:val="0"/>
        <w:adjustRightInd/>
        <w:snapToGrid/>
        <w:spacing w:before="240" w:after="60" w:line="579" w:lineRule="exact"/>
        <w:ind w:left="782" w:leftChars="0" w:firstLine="0" w:firstLineChars="0"/>
        <w:textAlignment w:val="auto"/>
        <w:outlineLvl w:val="0"/>
        <w:rPr>
          <w:rFonts w:hint="eastAsia" w:ascii="黑体" w:hAnsi="黑体" w:eastAsia="黑体" w:cstheme="minorBidi"/>
          <w:sz w:val="32"/>
          <w:szCs w:val="32"/>
        </w:rPr>
      </w:pPr>
      <w:r>
        <w:rPr>
          <w:rFonts w:hint="eastAsia" w:ascii="黑体" w:hAnsi="黑体" w:eastAsia="黑体" w:cstheme="minorBidi"/>
          <w:sz w:val="32"/>
          <w:szCs w:val="32"/>
        </w:rPr>
        <w:t>项目预算</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60万元</w:t>
      </w:r>
    </w:p>
    <w:p>
      <w:pPr>
        <w:keepNext w:val="0"/>
        <w:keepLines w:val="0"/>
        <w:pageBreakBefore w:val="0"/>
        <w:widowControl/>
        <w:kinsoku/>
        <w:wordWrap/>
        <w:overflowPunct/>
        <w:topLinePunct w:val="0"/>
        <w:autoSpaceDE/>
        <w:autoSpaceDN/>
        <w:bidi w:val="0"/>
        <w:adjustRightInd/>
        <w:snapToGrid/>
        <w:spacing w:before="240" w:after="60" w:line="579" w:lineRule="exact"/>
        <w:ind w:left="782"/>
        <w:textAlignment w:val="auto"/>
        <w:outlineLvl w:val="0"/>
        <w:rPr>
          <w:rFonts w:hint="eastAsia" w:ascii="黑体" w:hAnsi="黑体" w:eastAsia="黑体" w:cstheme="minorBidi"/>
          <w:sz w:val="32"/>
          <w:szCs w:val="32"/>
        </w:rPr>
      </w:pPr>
      <w:r>
        <w:rPr>
          <w:rFonts w:hint="eastAsia" w:ascii="黑体" w:hAnsi="黑体" w:eastAsia="黑体" w:cstheme="minorBidi"/>
          <w:sz w:val="32"/>
          <w:szCs w:val="32"/>
        </w:rPr>
        <w:t>三、</w:t>
      </w:r>
      <w:r>
        <w:rPr>
          <w:rFonts w:hint="eastAsia" w:ascii="黑体" w:hAnsi="黑体" w:eastAsia="黑体" w:cstheme="minorBidi"/>
          <w:sz w:val="32"/>
          <w:szCs w:val="32"/>
          <w:lang w:val="en-US" w:eastAsia="zh-CN"/>
        </w:rPr>
        <w:t>建设</w:t>
      </w:r>
      <w:r>
        <w:rPr>
          <w:rFonts w:hint="eastAsia" w:ascii="黑体" w:hAnsi="黑体" w:eastAsia="黑体" w:cstheme="minorBidi"/>
          <w:sz w:val="32"/>
          <w:szCs w:val="32"/>
        </w:rPr>
        <w:t>需求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（一）建设内容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1.监控点位光缆及电力电缆建设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野外训练基地待建监控点位大不小于44个，摄像头光缆及电力电缆需要按照新建电杆采取架空方式敷设，汇聚至各光交接入区。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2.5G基站光电缆建设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不小于训练基地3座5G基站的光缆及电力电缆建设。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3.骨干网络线缆光交环建设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野外训练基地搭建骨干网络线缆光交环。</w:t>
      </w:r>
      <w:bookmarkStart w:id="0" w:name="_GoBack"/>
      <w:bookmarkEnd w:id="0"/>
    </w:p>
    <w:p>
      <w:pPr>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（二）工程材料规格需求</w:t>
      </w:r>
    </w:p>
    <w:tbl>
      <w:tblPr>
        <w:tblStyle w:val="8"/>
        <w:tblW w:w="85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220"/>
        <w:gridCol w:w="1624"/>
        <w:gridCol w:w="930"/>
        <w:gridCol w:w="126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GYTA</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12芯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千米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0.30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GYTA</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288芯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千米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4.30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GYFXTC8Y</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12芯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千米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8.66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4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GYFXTC8Y</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24芯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千米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0.90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5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双头尾纤</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FC-FC_3米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47.00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6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预应力水泥电杆</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9m*ø150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112.00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7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预应力水泥电杆</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11m*ø150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25.00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8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光缆交接箱</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落地式576芯满配束状尾纤</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3.00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9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杆路钢绞线及配套材料</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钢绞线、吊线抱箍、三眼单槽夹板等</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10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其他辅助材料</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尾纤、接续盒等</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11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镀锌钢管 SC50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146.00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12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铜芯绝缘导线 RVV-2*2.5</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153.00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13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电力电缆 VLV-4*16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4327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14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电力电缆 VLV-4*10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1544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15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电力电缆 VV-4*10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229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16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电力电缆 VV-4*16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1385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17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断路器防水箱</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18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2P/6A断路器</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19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3P/32A/300mA断路器</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20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成套配电箱安装</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预估数量</w:t>
            </w:r>
          </w:p>
        </w:tc>
      </w:tr>
    </w:tbl>
    <w:p>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备注：本项目需现场踏勘。预算金额包含所有材料、人工、运输等项目产生的一切费用。</w:t>
      </w:r>
    </w:p>
    <w:p>
      <w:pPr>
        <w:numPr>
          <w:ilvl w:val="0"/>
          <w:numId w:val="2"/>
        </w:numPr>
        <w:pBdr>
          <w:top w:val="none" w:color="auto" w:sz="0" w:space="1"/>
          <w:left w:val="none" w:color="auto" w:sz="0" w:space="4"/>
          <w:bottom w:val="none" w:color="auto" w:sz="0" w:space="1"/>
          <w:right w:val="none" w:color="auto" w:sz="0" w:space="4"/>
        </w:pBdr>
        <w:spacing w:line="579" w:lineRule="exact"/>
        <w:ind w:firstLine="640" w:firstLineChars="200"/>
        <w:rPr>
          <w:rFonts w:hint="eastAsia" w:ascii="黑体" w:hAnsi="黑体" w:eastAsia="黑体" w:cs="楷体_GB2312"/>
          <w:bCs/>
          <w:sz w:val="32"/>
          <w:szCs w:val="32"/>
        </w:rPr>
      </w:pPr>
      <w:r>
        <w:rPr>
          <w:rFonts w:hint="eastAsia" w:ascii="黑体" w:hAnsi="黑体" w:eastAsia="黑体" w:cs="楷体_GB2312"/>
          <w:bCs/>
          <w:sz w:val="32"/>
          <w:szCs w:val="32"/>
        </w:rPr>
        <w:t>资格要求</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（一）</w:t>
      </w:r>
      <w:r>
        <w:rPr>
          <w:rFonts w:hint="eastAsia" w:ascii="仿宋_GB2312" w:hAnsi="黑体" w:eastAsia="仿宋_GB2312" w:cs="Times New Roman"/>
          <w:sz w:val="32"/>
          <w:szCs w:val="32"/>
        </w:rPr>
        <w:t>符合《中华人民共和国政府采购法》第二十二条资格条件：</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具有独立承担民事责任的能力；</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2.</w:t>
      </w:r>
      <w:r>
        <w:rPr>
          <w:rFonts w:hint="eastAsia" w:ascii="仿宋_GB2312" w:hAnsi="黑体" w:eastAsia="仿宋_GB2312" w:cs="Times New Roman"/>
          <w:sz w:val="32"/>
          <w:szCs w:val="32"/>
        </w:rPr>
        <w:t>具有良好的商业信誉和健全的财务会计制度；</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3.</w:t>
      </w:r>
      <w:r>
        <w:rPr>
          <w:rFonts w:hint="eastAsia" w:ascii="仿宋_GB2312" w:hAnsi="黑体" w:eastAsia="仿宋_GB2312" w:cs="Times New Roman"/>
          <w:sz w:val="32"/>
          <w:szCs w:val="32"/>
        </w:rPr>
        <w:t>具有履行合同所必需的设备和专业技术能力；</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4.</w:t>
      </w:r>
      <w:r>
        <w:rPr>
          <w:rFonts w:hint="eastAsia" w:ascii="仿宋_GB2312" w:hAnsi="黑体" w:eastAsia="仿宋_GB2312" w:cs="Times New Roman"/>
          <w:sz w:val="32"/>
          <w:szCs w:val="32"/>
        </w:rPr>
        <w:t>有依法缴纳税收和社会保障资金的良好记录；</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5.</w:t>
      </w:r>
      <w:r>
        <w:rPr>
          <w:rFonts w:hint="eastAsia" w:ascii="仿宋_GB2312" w:hAnsi="黑体" w:eastAsia="仿宋_GB2312" w:cs="Times New Roman"/>
          <w:sz w:val="32"/>
          <w:szCs w:val="32"/>
        </w:rPr>
        <w:t>参加政府采购活动前3年内，在经营活动中没有重大违法记录；</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6.</w:t>
      </w:r>
      <w:r>
        <w:rPr>
          <w:rFonts w:hint="eastAsia" w:ascii="仿宋_GB2312" w:hAnsi="黑体" w:eastAsia="仿宋_GB2312" w:cs="Times New Roman"/>
          <w:sz w:val="32"/>
          <w:szCs w:val="32"/>
        </w:rPr>
        <w:t>法律、行政法规规定的其他条件。</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（二）</w:t>
      </w:r>
      <w:r>
        <w:rPr>
          <w:rFonts w:hint="eastAsia" w:ascii="仿宋_GB2312" w:hAnsi="黑体" w:eastAsia="仿宋_GB2312" w:cs="Times New Roman"/>
          <w:sz w:val="32"/>
          <w:szCs w:val="32"/>
        </w:rPr>
        <w:t>国有企业；事业单位；军队单位；成立三年以上的非外资独资企业或外资控股企业。</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（三）</w:t>
      </w:r>
      <w:r>
        <w:rPr>
          <w:rFonts w:hint="eastAsia" w:ascii="仿宋_GB2312" w:hAnsi="黑体" w:eastAsia="仿宋_GB2312" w:cs="Times New Roman"/>
          <w:sz w:val="32"/>
          <w:szCs w:val="32"/>
        </w:rPr>
        <w:t>单位负责人为同一人或者存在直接控股、管理关系的不同</w:t>
      </w:r>
      <w:r>
        <w:rPr>
          <w:rFonts w:hint="eastAsia" w:ascii="仿宋_GB2312" w:hAnsi="黑体" w:eastAsia="仿宋_GB2312" w:cs="Times New Roman"/>
          <w:sz w:val="32"/>
          <w:szCs w:val="32"/>
          <w:lang w:eastAsia="zh-CN"/>
        </w:rPr>
        <w:t>供货商</w:t>
      </w:r>
      <w:r>
        <w:rPr>
          <w:rFonts w:hint="eastAsia" w:ascii="仿宋_GB2312" w:hAnsi="黑体" w:eastAsia="仿宋_GB2312" w:cs="Times New Roman"/>
          <w:sz w:val="32"/>
          <w:szCs w:val="32"/>
        </w:rPr>
        <w:t>，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（四）未被列入军队采购失信名单、军队供应商暂停名单，未在军队采购暂停名单内、</w:t>
      </w:r>
      <w:r>
        <w:rPr>
          <w:rFonts w:hint="eastAsia" w:ascii="仿宋_GB2312" w:hAnsi="黑体" w:eastAsia="仿宋_GB2312" w:cs="Times New Roman"/>
          <w:sz w:val="32"/>
          <w:szCs w:val="32"/>
        </w:rPr>
        <w:t>未被列入政府采购失信名单、未被“信用中国”网站列入失信被执行人、重大税收违法案件当事人。</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（五）</w:t>
      </w:r>
      <w:r>
        <w:rPr>
          <w:rFonts w:hint="eastAsia" w:ascii="仿宋_GB2312" w:hAnsi="黑体" w:eastAsia="仿宋_GB2312" w:cs="Times New Roman"/>
          <w:sz w:val="32"/>
          <w:szCs w:val="32"/>
        </w:rPr>
        <w:t>本项目不接受联合体投标。</w:t>
      </w:r>
    </w:p>
    <w:p>
      <w:pPr>
        <w:spacing w:line="579"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cs="Times New Roman"/>
          <w:sz w:val="32"/>
          <w:szCs w:val="32"/>
          <w:lang w:val="en-US" w:eastAsia="zh-CN"/>
        </w:rPr>
        <w:t>（六）</w:t>
      </w:r>
      <w:r>
        <w:rPr>
          <w:rFonts w:hint="eastAsia" w:ascii="仿宋_GB2312" w:hAnsi="黑体" w:eastAsia="仿宋_GB2312"/>
          <w:sz w:val="32"/>
          <w:szCs w:val="32"/>
          <w:lang w:val="en-US" w:eastAsia="zh-CN"/>
        </w:rPr>
        <w:t>本项目的特定资格要求：具有通信工程施工总承包二级及以上资质。</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1"/>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、遵循的标准规范</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（一）国家法律法规</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本招标活动严格遵守《中华人民共和国招标投标法》及其相关配套法规，包括但不限于《中华人民共和国招标投标法实施条例》等。招标活动遵循公平、公正、公开的原则，确保所有投标人的合法权益得到保障。</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（二）行业规范与标准</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通信工程项目的实施遵循国家及行业的相关规范和标准，包括但不限于：</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《通信工程施工及验收规范》（GB 50374系列）</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《通信管道与通道工程设计规范》（GB 50373）</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《有线电视系统工程技术规范》（GB 50200）</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其他与通信工程相关的国家及行业标准。</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（三）技术规格与要求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投标人应确保所提供的设备、材料和服务符合招标文件中的技术规格和要求。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（四）安全与环保要求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通信工程项目的实施应遵守国家及地方的安全生产法规，确保施工安全。</w:t>
      </w:r>
    </w:p>
    <w:p>
      <w:pPr>
        <w:pStyle w:val="11"/>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outlineLvl w:val="1"/>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、项目实施人员要求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（一）项目经理要求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1.拟派项目经理须具备通信与广电工程一级注册建造师执业资格和有效的安全生产考核合格证书（B本）。</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2.项目经理需为投标单位在职社保人员，并提供相关证明。</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项目经理不得有在建工程，需提供企业出具的无在建承诺书原件并加盖投标人鲜章。</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（二）技术负责人要求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1.技术负责人需具有通信工程相关专业高级及以上职称证书。</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2.技术负责人应为投标单位在职社保人员，并提供相关证明。</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（三）其他关键岗位人员要求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施工员、质量员、安全员、资料员、材料员等关键岗位人员需具有有效的岗位资格证书和安全员的安全生产考核合格证。这些人员需为投标单位在职社保人员，并提供至投标截止日期前连续一定时间的《基本养老保险单位参保人员缴费证明》。</w:t>
      </w:r>
    </w:p>
    <w:p>
      <w:pPr>
        <w:bidi w:val="0"/>
        <w:rPr>
          <w:rFonts w:hint="eastAsia"/>
          <w:lang w:val="en-US" w:eastAsia="zh-CN"/>
        </w:rPr>
      </w:pPr>
    </w:p>
    <w:p>
      <w:pPr>
        <w:pStyle w:val="11"/>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640" w:firstLineChars="200"/>
        <w:textAlignment w:val="auto"/>
        <w:outlineLvl w:val="1"/>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交付要求</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（一）材料准备与检验要求</w:t>
      </w:r>
    </w:p>
    <w:p>
      <w:pPr>
        <w:bidi w:val="0"/>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1.提供符合招标要求规格的光缆及其附件，包括但不限于光缆、接头盒、光缆尾纤、光纤跳线等。</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2.提交所有材料的出厂合格证、质量检验报告和必要的第三方检测报告。</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（二）施工要求</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1.遵循光缆施工的最佳实践，确保光缆铺设的连续性和完整性。</w:t>
      </w:r>
    </w:p>
    <w:p>
      <w:pPr>
        <w:ind w:firstLine="640" w:firstLineChars="200"/>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2.在施工过程中，对光缆进行必要的保护，避免损坏和弯曲。</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3.完成光缆的接续和熔接工作，确保接续损耗满足国家规范要求。</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（三）测试与调试要求</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1.对光缆进行OTDR测试，记录光缆的长度、衰减和反射等参数。</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2.进行光纤损耗测试，确保损耗值在允许范围内。</w:t>
      </w:r>
    </w:p>
    <w:p>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3.调试光缆系统的性能，确保信号传输质量稳定可靠。</w:t>
      </w:r>
    </w:p>
    <w:p>
      <w:pPr>
        <w:spacing w:line="579"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、验收标准和方法</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（一）验收标准</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1.遵循的法规与标准</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严格遵循国家及行业的相关法律法规、标准与规范，包括但不限于《中华人民共和国电信条例》、《通信工程施工及验收规范》（GB 50374系列）等。</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投标人应确保所提供的设备、材料和服务符合上述法规与标准的要求。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2.工程质量与安全</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本工程应满足国家及行业关于工程质量与安全的相关规定，确保施工过程中的安全管理和质量控制。</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投标人应提供工程质量与安全管理的相关文件和记录，如施工组织设计、安全施工方案、质量检查记录等。</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（二）验收方法</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1.现场检查</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招标人或其指定的第三方机构应对通信工程进行现场检查，包括但不限于设备安装、线路敷设、系统调试等环节。</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2.资料审查</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招标人审查投标人提供的所有相关资料，包括但不限于技术方案、施工组织设计、质量保证措施等。</w:t>
      </w:r>
    </w:p>
    <w:p>
      <w:pPr>
        <w:spacing w:line="579" w:lineRule="exact"/>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br w:type="page"/>
      </w:r>
    </w:p>
    <w:p>
      <w:pPr>
        <w:rPr>
          <w:rFonts w:ascii="仿宋_GB2312" w:hAnsi="黑体" w:eastAsia="仿宋_GB2312"/>
          <w:sz w:val="32"/>
          <w:szCs w:val="32"/>
        </w:rPr>
      </w:pPr>
    </w:p>
    <w:p>
      <w:pPr>
        <w:wordWrap w:val="0"/>
        <w:spacing w:line="579" w:lineRule="exact"/>
        <w:rPr>
          <w:rFonts w:eastAsia="黑体"/>
          <w:kern w:val="0"/>
          <w:sz w:val="32"/>
          <w:szCs w:val="32"/>
        </w:rPr>
      </w:pPr>
      <w:r>
        <w:rPr>
          <w:rFonts w:eastAsia="黑体"/>
          <w:kern w:val="0"/>
          <w:sz w:val="32"/>
          <w:szCs w:val="32"/>
        </w:rPr>
        <w:t>附件3</w:t>
      </w:r>
    </w:p>
    <w:p>
      <w:pPr>
        <w:wordWrap w:val="0"/>
        <w:spacing w:line="579" w:lineRule="exact"/>
        <w:jc w:val="center"/>
        <w:rPr>
          <w:rFonts w:eastAsia="黑体"/>
          <w:kern w:val="0"/>
          <w:sz w:val="32"/>
          <w:szCs w:val="32"/>
        </w:rPr>
      </w:pPr>
      <w:r>
        <w:rPr>
          <w:rFonts w:eastAsia="黑体"/>
          <w:kern w:val="0"/>
          <w:sz w:val="32"/>
          <w:szCs w:val="32"/>
        </w:rPr>
        <w:t>经济要求</w:t>
      </w:r>
    </w:p>
    <w:p>
      <w:pPr>
        <w:pStyle w:val="3"/>
      </w:pPr>
    </w:p>
    <w:p>
      <w:pPr>
        <w:keepNext/>
        <w:ind w:firstLine="640" w:firstLineChars="200"/>
        <w:outlineLvl w:val="1"/>
        <w:rPr>
          <w:rFonts w:ascii="黑体" w:hAnsi="黑体" w:eastAsia="黑体"/>
          <w:sz w:val="32"/>
          <w:szCs w:val="32"/>
        </w:rPr>
      </w:pPr>
      <w:r>
        <w:rPr>
          <w:rFonts w:hint="eastAsia" w:ascii="黑体" w:hAnsi="黑体" w:eastAsia="黑体"/>
          <w:sz w:val="32"/>
          <w:szCs w:val="32"/>
        </w:rPr>
        <w:t>一、预算安排</w:t>
      </w:r>
    </w:p>
    <w:p>
      <w:pPr>
        <w:spacing w:line="400" w:lineRule="exact"/>
        <w:ind w:right="40" w:firstLine="420" w:firstLineChars="150"/>
        <w:jc w:val="center"/>
        <w:rPr>
          <w:rFonts w:hint="eastAsia" w:ascii="黑体" w:hAnsi="黑体" w:eastAsia="黑体" w:cs="黑体"/>
          <w:sz w:val="28"/>
          <w:szCs w:val="28"/>
        </w:rPr>
      </w:pPr>
      <w:r>
        <w:rPr>
          <w:rFonts w:hint="eastAsia" w:ascii="黑体" w:hAnsi="黑体" w:eastAsia="黑体" w:cs="黑体"/>
          <w:sz w:val="28"/>
          <w:szCs w:val="28"/>
        </w:rPr>
        <w:t xml:space="preserve">表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SEQ 表 \* ARABIC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t xml:space="preserve"> 采购清单</w:t>
      </w:r>
    </w:p>
    <w:p>
      <w:pPr>
        <w:spacing w:line="400" w:lineRule="exact"/>
        <w:ind w:right="40" w:firstLine="330" w:firstLineChars="150"/>
        <w:jc w:val="right"/>
      </w:pPr>
      <w:r>
        <w:rPr>
          <w:rFonts w:hint="eastAsia" w:ascii="楷体_GB2312" w:hAnsi="黑体" w:eastAsia="楷体_GB2312"/>
          <w:bCs/>
          <w:spacing w:val="-10"/>
          <w:kern w:val="10"/>
          <w:sz w:val="24"/>
          <w:szCs w:val="28"/>
        </w:rPr>
        <w:t>金额单位：万元</w:t>
      </w:r>
    </w:p>
    <w:tbl>
      <w:tblPr>
        <w:tblStyle w:val="8"/>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04"/>
        <w:gridCol w:w="2004"/>
        <w:gridCol w:w="924"/>
        <w:gridCol w:w="1083"/>
        <w:gridCol w:w="1153"/>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84"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1145"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项目名称</w:t>
            </w:r>
          </w:p>
        </w:tc>
        <w:tc>
          <w:tcPr>
            <w:tcW w:w="1145"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名称</w:t>
            </w:r>
          </w:p>
        </w:tc>
        <w:tc>
          <w:tcPr>
            <w:tcW w:w="528"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计量单位</w:t>
            </w:r>
          </w:p>
        </w:tc>
        <w:tc>
          <w:tcPr>
            <w:tcW w:w="619"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采购数量</w:t>
            </w:r>
          </w:p>
        </w:tc>
        <w:tc>
          <w:tcPr>
            <w:tcW w:w="659"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最高</w:t>
            </w:r>
          </w:p>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限价</w:t>
            </w:r>
          </w:p>
        </w:tc>
        <w:tc>
          <w:tcPr>
            <w:tcW w:w="516"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产品类别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84" w:type="pct"/>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45" w:type="pct"/>
            <w:vAlign w:val="center"/>
          </w:tcPr>
          <w:p>
            <w:pPr>
              <w:spacing w:line="579" w:lineRule="exact"/>
              <w:jc w:val="left"/>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光电缆工程</w:t>
            </w:r>
          </w:p>
        </w:tc>
        <w:tc>
          <w:tcPr>
            <w:tcW w:w="1145" w:type="pct"/>
            <w:vAlign w:val="center"/>
          </w:tcPr>
          <w:p>
            <w:pPr>
              <w:spacing w:line="579" w:lineRule="exact"/>
              <w:jc w:val="left"/>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光电缆工程</w:t>
            </w:r>
          </w:p>
        </w:tc>
        <w:tc>
          <w:tcPr>
            <w:tcW w:w="528" w:type="pct"/>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批</w:t>
            </w:r>
          </w:p>
        </w:tc>
        <w:tc>
          <w:tcPr>
            <w:tcW w:w="619" w:type="pct"/>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659" w:type="pct"/>
            <w:vAlign w:val="center"/>
          </w:tcPr>
          <w:p>
            <w:pPr>
              <w:spacing w:line="579" w:lineRule="exact"/>
              <w:jc w:val="center"/>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60</w:t>
            </w:r>
          </w:p>
        </w:tc>
        <w:tc>
          <w:tcPr>
            <w:tcW w:w="516" w:type="pct"/>
            <w:vAlign w:val="center"/>
          </w:tcPr>
          <w:p>
            <w:pPr>
              <w:spacing w:line="579" w:lineRule="exact"/>
              <w:jc w:val="left"/>
              <w:rPr>
                <w:rFonts w:hint="eastAsia" w:ascii="仿宋_GB2312" w:hAnsi="黑体" w:eastAsia="仿宋_GB2312" w:cs="Times New Roman"/>
                <w:sz w:val="32"/>
                <w:szCs w:val="32"/>
                <w:lang w:val="en-US" w:eastAsia="zh-CN"/>
              </w:rPr>
            </w:pPr>
          </w:p>
        </w:tc>
      </w:tr>
    </w:tbl>
    <w:tbl>
      <w:tblPr>
        <w:tblStyle w:val="9"/>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vAlign w:val="center"/>
          </w:tcPr>
          <w:p>
            <w:pPr>
              <w:spacing w:line="300" w:lineRule="auto"/>
              <w:jc w:val="center"/>
              <w:rPr>
                <w:rFonts w:ascii="仿宋_GB2312" w:hAnsi="黑体" w:eastAsia="仿宋_GB2312"/>
                <w:sz w:val="28"/>
                <w:szCs w:val="28"/>
              </w:rPr>
            </w:pPr>
          </w:p>
        </w:tc>
      </w:tr>
    </w:tbl>
    <w:p>
      <w:pPr>
        <w:keepNext/>
        <w:ind w:firstLine="640" w:firstLineChars="200"/>
        <w:outlineLvl w:val="1"/>
        <w:rPr>
          <w:rFonts w:ascii="黑体" w:hAnsi="黑体" w:eastAsia="黑体"/>
          <w:sz w:val="32"/>
          <w:szCs w:val="32"/>
        </w:rPr>
      </w:pPr>
      <w:r>
        <w:rPr>
          <w:rFonts w:hint="eastAsia" w:ascii="黑体" w:hAnsi="黑体" w:eastAsia="黑体"/>
          <w:sz w:val="32"/>
          <w:szCs w:val="32"/>
        </w:rPr>
        <w:t>二、交付成果形式、交付或实施时间及地点要求</w:t>
      </w:r>
    </w:p>
    <w:p>
      <w:pPr>
        <w:keepNext/>
        <w:spacing w:line="592"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（一）成果形式</w:t>
      </w:r>
    </w:p>
    <w:p>
      <w:pPr>
        <w:pStyle w:val="2"/>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w:t>
      </w:r>
      <w:r>
        <w:rPr>
          <w:rFonts w:hint="eastAsia"/>
        </w:rPr>
        <w:fldChar w:fldCharType="end"/>
      </w:r>
      <w:r>
        <w:rPr>
          <w:rFonts w:hint="eastAsia"/>
        </w:rPr>
        <w:t xml:space="preserve"> 交付成果</w:t>
      </w:r>
    </w:p>
    <w:tbl>
      <w:tblPr>
        <w:tblStyle w:val="9"/>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777"/>
        <w:gridCol w:w="1849"/>
        <w:gridCol w:w="1380"/>
        <w:gridCol w:w="112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Pr>
          <w:p>
            <w:pPr>
              <w:spacing w:line="300" w:lineRule="auto"/>
              <w:jc w:val="center"/>
              <w:rPr>
                <w:rFonts w:ascii="黑体" w:hAnsi="黑体" w:eastAsia="黑体"/>
                <w:sz w:val="28"/>
                <w:szCs w:val="28"/>
              </w:rPr>
            </w:pPr>
            <w:r>
              <w:rPr>
                <w:rFonts w:hint="eastAsia" w:ascii="黑体" w:hAnsi="黑体" w:eastAsia="黑体"/>
                <w:sz w:val="28"/>
                <w:szCs w:val="28"/>
              </w:rPr>
              <w:t>序号</w:t>
            </w:r>
          </w:p>
        </w:tc>
        <w:tc>
          <w:tcPr>
            <w:tcW w:w="2777" w:type="dxa"/>
          </w:tcPr>
          <w:p>
            <w:pPr>
              <w:spacing w:line="300" w:lineRule="auto"/>
              <w:jc w:val="center"/>
              <w:rPr>
                <w:rFonts w:ascii="黑体" w:hAnsi="黑体" w:eastAsia="黑体"/>
                <w:sz w:val="28"/>
                <w:szCs w:val="28"/>
              </w:rPr>
            </w:pPr>
            <w:r>
              <w:rPr>
                <w:rFonts w:hint="eastAsia" w:ascii="黑体" w:hAnsi="黑体" w:eastAsia="黑体"/>
                <w:sz w:val="28"/>
                <w:szCs w:val="28"/>
              </w:rPr>
              <w:t>成果名称</w:t>
            </w:r>
          </w:p>
        </w:tc>
        <w:tc>
          <w:tcPr>
            <w:tcW w:w="1849" w:type="dxa"/>
          </w:tcPr>
          <w:p>
            <w:pPr>
              <w:spacing w:line="300" w:lineRule="auto"/>
              <w:jc w:val="center"/>
              <w:rPr>
                <w:rFonts w:ascii="黑体" w:hAnsi="黑体" w:eastAsia="黑体"/>
                <w:sz w:val="28"/>
                <w:szCs w:val="28"/>
              </w:rPr>
            </w:pPr>
            <w:r>
              <w:rPr>
                <w:rFonts w:hint="eastAsia" w:ascii="黑体" w:hAnsi="黑体" w:eastAsia="黑体"/>
                <w:sz w:val="28"/>
                <w:szCs w:val="28"/>
              </w:rPr>
              <w:t>形态</w:t>
            </w:r>
          </w:p>
        </w:tc>
        <w:tc>
          <w:tcPr>
            <w:tcW w:w="1380" w:type="dxa"/>
          </w:tcPr>
          <w:p>
            <w:pPr>
              <w:spacing w:line="300" w:lineRule="auto"/>
              <w:jc w:val="center"/>
              <w:rPr>
                <w:rFonts w:ascii="黑体" w:hAnsi="黑体" w:eastAsia="黑体"/>
                <w:sz w:val="28"/>
                <w:szCs w:val="28"/>
              </w:rPr>
            </w:pPr>
            <w:r>
              <w:rPr>
                <w:rFonts w:hint="eastAsia" w:ascii="黑体" w:hAnsi="黑体" w:eastAsia="黑体"/>
                <w:sz w:val="28"/>
                <w:szCs w:val="28"/>
              </w:rPr>
              <w:t>数量</w:t>
            </w:r>
          </w:p>
        </w:tc>
        <w:tc>
          <w:tcPr>
            <w:tcW w:w="1121" w:type="dxa"/>
          </w:tcPr>
          <w:p>
            <w:pPr>
              <w:spacing w:line="300" w:lineRule="auto"/>
              <w:jc w:val="center"/>
              <w:rPr>
                <w:rFonts w:ascii="黑体" w:hAnsi="黑体" w:eastAsia="黑体"/>
                <w:sz w:val="28"/>
                <w:szCs w:val="28"/>
              </w:rPr>
            </w:pPr>
            <w:r>
              <w:rPr>
                <w:rFonts w:hint="eastAsia" w:ascii="黑体" w:hAnsi="黑体" w:eastAsia="黑体"/>
                <w:sz w:val="28"/>
                <w:szCs w:val="28"/>
              </w:rPr>
              <w:t>单位</w:t>
            </w:r>
          </w:p>
        </w:tc>
        <w:tc>
          <w:tcPr>
            <w:tcW w:w="1142" w:type="dxa"/>
            <w:vAlign w:val="center"/>
          </w:tcPr>
          <w:p>
            <w:pPr>
              <w:spacing w:line="300" w:lineRule="auto"/>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1</w:t>
            </w:r>
          </w:p>
        </w:tc>
        <w:tc>
          <w:tcPr>
            <w:tcW w:w="2777" w:type="dxa"/>
            <w:vAlign w:val="center"/>
          </w:tcPr>
          <w:p>
            <w:pPr>
              <w:spacing w:line="579" w:lineRule="exact"/>
              <w:jc w:val="both"/>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光电缆工程</w:t>
            </w:r>
          </w:p>
        </w:tc>
        <w:tc>
          <w:tcPr>
            <w:tcW w:w="1849" w:type="dxa"/>
            <w:vAlign w:val="center"/>
          </w:tcPr>
          <w:p>
            <w:pPr>
              <w:spacing w:line="579" w:lineRule="exact"/>
              <w:jc w:val="both"/>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实物</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批</w:t>
            </w:r>
          </w:p>
        </w:tc>
        <w:tc>
          <w:tcPr>
            <w:tcW w:w="1142" w:type="dxa"/>
            <w:vAlign w:val="center"/>
          </w:tcPr>
          <w:p>
            <w:pPr>
              <w:spacing w:line="579" w:lineRule="exact"/>
              <w:jc w:val="left"/>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2</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施工方案</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施工、设计图纸张等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3</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开工报告</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4</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竣工报告</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5</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‌工程质量监督记录</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6</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工程变更记录</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7</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工程施工记录</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8</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竣工验收记录</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default"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9</w:t>
            </w:r>
          </w:p>
        </w:tc>
        <w:tc>
          <w:tcPr>
            <w:tcW w:w="2777" w:type="dxa"/>
            <w:vAlign w:val="center"/>
          </w:tcPr>
          <w:p>
            <w:pPr>
              <w:spacing w:line="579" w:lineRule="exact"/>
              <w:jc w:val="left"/>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测试报告</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default"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10</w:t>
            </w:r>
          </w:p>
        </w:tc>
        <w:tc>
          <w:tcPr>
            <w:tcW w:w="2777" w:type="dxa"/>
            <w:vAlign w:val="center"/>
          </w:tcPr>
          <w:p>
            <w:pPr>
              <w:spacing w:line="579" w:lineRule="exact"/>
              <w:jc w:val="left"/>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质量报告</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579" w:lineRule="exact"/>
              <w:jc w:val="center"/>
              <w:rPr>
                <w:rFonts w:hint="default"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11</w:t>
            </w:r>
          </w:p>
        </w:tc>
        <w:tc>
          <w:tcPr>
            <w:tcW w:w="2777"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验收报告</w:t>
            </w:r>
          </w:p>
        </w:tc>
        <w:tc>
          <w:tcPr>
            <w:tcW w:w="1849" w:type="dxa"/>
            <w:vAlign w:val="center"/>
          </w:tcPr>
          <w:p>
            <w:pPr>
              <w:spacing w:line="579" w:lineRule="exact"/>
              <w:jc w:val="left"/>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资料装订成册</w:t>
            </w:r>
          </w:p>
        </w:tc>
        <w:tc>
          <w:tcPr>
            <w:tcW w:w="1380"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w:t>
            </w:r>
          </w:p>
        </w:tc>
        <w:tc>
          <w:tcPr>
            <w:tcW w:w="1121" w:type="dxa"/>
            <w:vAlign w:val="center"/>
          </w:tcPr>
          <w:p>
            <w:pPr>
              <w:spacing w:line="579" w:lineRule="exact"/>
              <w:jc w:val="center"/>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册</w:t>
            </w:r>
          </w:p>
        </w:tc>
        <w:tc>
          <w:tcPr>
            <w:tcW w:w="1142" w:type="dxa"/>
            <w:vAlign w:val="center"/>
          </w:tcPr>
          <w:p>
            <w:pPr>
              <w:spacing w:line="300" w:lineRule="auto"/>
              <w:rPr>
                <w:rFonts w:ascii="仿宋_GB2312" w:hAnsi="黑体" w:eastAsia="仿宋_GB2312"/>
                <w:sz w:val="28"/>
                <w:szCs w:val="28"/>
              </w:rPr>
            </w:pPr>
          </w:p>
        </w:tc>
      </w:tr>
    </w:tbl>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（二）交付时间、地点与方式</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1．交付时间：</w:t>
      </w:r>
      <w:r>
        <w:rPr>
          <w:rFonts w:hint="eastAsia" w:ascii="仿宋_GB2312" w:hAnsi="黑体" w:eastAsia="仿宋_GB2312"/>
          <w:kern w:val="2"/>
          <w:sz w:val="32"/>
          <w:szCs w:val="32"/>
          <w:lang w:val="en-US" w:eastAsia="zh-CN"/>
        </w:rPr>
        <w:t>2024年12月31日</w:t>
      </w:r>
      <w:r>
        <w:rPr>
          <w:rFonts w:hint="eastAsia" w:ascii="仿宋_GB2312" w:hAnsi="黑体" w:eastAsia="仿宋_GB2312"/>
          <w:kern w:val="2"/>
          <w:sz w:val="32"/>
          <w:szCs w:val="32"/>
        </w:rPr>
        <w:t>。</w:t>
      </w:r>
    </w:p>
    <w:p>
      <w:pPr>
        <w:keepLines w:val="0"/>
        <w:pageBreakBefore w:val="0"/>
        <w:widowControl w:val="0"/>
        <w:kinsoku/>
        <w:wordWrap/>
        <w:overflowPunct/>
        <w:topLinePunct w:val="0"/>
        <w:autoSpaceDE/>
        <w:autoSpaceDN/>
        <w:bidi w:val="0"/>
        <w:adjustRightInd/>
        <w:snapToGrid/>
        <w:spacing w:line="579" w:lineRule="exact"/>
        <w:ind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2．交付地点：</w:t>
      </w:r>
      <w:r>
        <w:rPr>
          <w:rFonts w:hint="eastAsia" w:ascii="仿宋_GB2312" w:hAnsi="黑体" w:eastAsia="仿宋_GB2312"/>
          <w:sz w:val="32"/>
          <w:szCs w:val="32"/>
        </w:rPr>
        <w:t>重庆市</w:t>
      </w:r>
      <w:r>
        <w:rPr>
          <w:rFonts w:hint="eastAsia" w:ascii="仿宋_GB2312" w:hAnsi="黑体" w:eastAsia="仿宋_GB2312"/>
          <w:sz w:val="32"/>
          <w:szCs w:val="32"/>
          <w:lang w:val="en-US" w:eastAsia="zh-CN"/>
        </w:rPr>
        <w:t>江津区</w:t>
      </w:r>
      <w:r>
        <w:rPr>
          <w:rFonts w:hint="eastAsia" w:ascii="仿宋_GB2312" w:hAnsi="黑体" w:eastAsia="仿宋_GB2312"/>
          <w:sz w:val="32"/>
          <w:szCs w:val="32"/>
        </w:rPr>
        <w:t>。</w:t>
      </w:r>
    </w:p>
    <w:p>
      <w:pPr>
        <w:keepLines w:val="0"/>
        <w:pageBreakBefore w:val="0"/>
        <w:widowControl w:val="0"/>
        <w:kinsoku/>
        <w:wordWrap/>
        <w:overflowPunct/>
        <w:topLinePunct w:val="0"/>
        <w:autoSpaceDE/>
        <w:autoSpaceDN/>
        <w:bidi w:val="0"/>
        <w:adjustRightInd/>
        <w:snapToGrid/>
        <w:spacing w:line="579" w:lineRule="exact"/>
        <w:ind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3．交付方式：</w:t>
      </w:r>
      <w:r>
        <w:rPr>
          <w:rFonts w:hint="eastAsia" w:ascii="仿宋_GB2312" w:hAnsi="仿宋_GB2312" w:eastAsia="仿宋_GB2312"/>
          <w:color w:val="000000"/>
          <w:sz w:val="32"/>
          <w:szCs w:val="32"/>
          <w:lang w:val="en-US" w:eastAsia="zh-CN"/>
        </w:rPr>
        <w:t>实物</w:t>
      </w:r>
      <w:r>
        <w:rPr>
          <w:rFonts w:hint="eastAsia" w:ascii="仿宋_GB2312" w:hAnsi="仿宋_GB2312" w:eastAsia="仿宋_GB2312"/>
          <w:color w:val="000000"/>
          <w:sz w:val="32"/>
          <w:szCs w:val="32"/>
        </w:rPr>
        <w:t>。</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rPr>
        <w:t>三、付款方式和条件</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（一）付款方式</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hint="eastAsia" w:ascii="仿宋_GB2312" w:hAnsi="黑体" w:eastAsia="仿宋_GB2312"/>
          <w:sz w:val="32"/>
          <w:szCs w:val="32"/>
          <w:highlight w:val="none"/>
        </w:rPr>
      </w:pPr>
      <w:r>
        <w:rPr>
          <w:rFonts w:hint="eastAsia" w:ascii="仿宋_GB2312" w:hAnsi="黑体" w:eastAsia="仿宋_GB2312"/>
          <w:sz w:val="32"/>
          <w:szCs w:val="32"/>
          <w:highlight w:val="none"/>
        </w:rPr>
        <w:t>本项目不支付预付款。</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项目验收完成后支付合同总金额95%，项目验收1年后支付至合同总金额100%。</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w:t>
      </w:r>
      <w:r>
        <w:rPr>
          <w:rFonts w:hint="eastAsia" w:ascii="楷体_GB2312" w:hAnsi="楷体_GB2312" w:eastAsia="楷体_GB2312"/>
          <w:color w:val="000000"/>
          <w:sz w:val="32"/>
          <w:szCs w:val="32"/>
          <w:lang w:val="en-US" w:eastAsia="zh-CN"/>
        </w:rPr>
        <w:t>二</w:t>
      </w:r>
      <w:r>
        <w:rPr>
          <w:rFonts w:hint="eastAsia" w:ascii="楷体_GB2312" w:hAnsi="楷体_GB2312" w:eastAsia="楷体_GB2312"/>
          <w:color w:val="000000"/>
          <w:sz w:val="32"/>
          <w:szCs w:val="32"/>
        </w:rPr>
        <w:t>）违约责任</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供应商未经采购方同意而延期进场时，应当向采购方偿付违约金，违约金每天按违约服务金额的1‰计算，违约金最高限额为违约总金额的5%。如果达到违约金最高限额时仍不能交付，或进场时间影响采购方任务实施，采购方可以终止合同，而由此给采购方造成的实际损失，供应商应当给予足额赔偿。</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建设</w:t>
      </w:r>
      <w:r>
        <w:rPr>
          <w:rFonts w:hint="eastAsia" w:ascii="黑体" w:hAnsi="黑体" w:eastAsia="黑体"/>
          <w:sz w:val="32"/>
          <w:szCs w:val="32"/>
        </w:rPr>
        <w:t>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（一）建设内容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1.监控点位光缆及电力电缆建设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野外xljd待建监控点位44个，摄像头光缆及电力电缆需要按照新建电杆采取架空方式敷设，汇聚至各光交接入区。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2.5G基站光电缆建设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Xljd3座5G基站的光缆及电力电缆建设。</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3.骨干网络线缆光交环建设</w:t>
      </w:r>
    </w:p>
    <w:p>
      <w:pPr>
        <w:keepNext/>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野外xljd搭建骨干网络线缆光交环。</w:t>
      </w:r>
    </w:p>
    <w:p>
      <w:pPr>
        <w:keepNext/>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售后、培训要求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1.质量维保期为项目验收后3年，承诺在维保期内提供免费的维修和更换服务，对光缆系统出现的故障进行及时响应和处理。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2.提供必要的操作和维护培训，确保使用方能够熟练掌握光缆系统的使用方法。</w:t>
      </w:r>
    </w:p>
    <w:p>
      <w:pPr>
        <w:keepNext/>
        <w:keepLines w:val="0"/>
        <w:pageBreakBefore w:val="0"/>
        <w:widowControl w:val="0"/>
        <w:kinsoku/>
        <w:wordWrap/>
        <w:overflowPunct/>
        <w:topLinePunct w:val="0"/>
        <w:autoSpaceDE/>
        <w:autoSpaceDN/>
        <w:bidi w:val="0"/>
        <w:adjustRightInd/>
        <w:snapToGrid/>
        <w:spacing w:line="579" w:lineRule="exact"/>
        <w:ind w:firstLine="420" w:firstLineChars="200"/>
        <w:outlineLvl w:val="1"/>
        <w:rPr>
          <w:rFonts w:ascii="黑体" w:hAnsi="黑体" w:eastAsia="黑体"/>
          <w:sz w:val="32"/>
          <w:szCs w:val="32"/>
        </w:rPr>
      </w:pPr>
      <w:r>
        <w:rPr>
          <w:rFonts w:hint="eastAsia"/>
          <w:lang w:eastAsia="zh-CN"/>
        </w:rPr>
        <w:t>（</w:t>
      </w:r>
      <w:r>
        <w:rPr>
          <w:rFonts w:hint="eastAsia"/>
          <w:lang w:val="en-US" w:eastAsia="zh-CN"/>
        </w:rPr>
        <w:t>2</w:t>
      </w:r>
      <w:r>
        <w:rPr>
          <w:rFonts w:hint="eastAsia" w:ascii="黑体" w:hAnsi="黑体" w:eastAsia="黑体"/>
          <w:sz w:val="32"/>
          <w:szCs w:val="32"/>
        </w:rPr>
        <w:t>六、保密和专利要求</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（一）保密要求</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严格按照《中华人民共和国保守国家秘密法》《中国人民解放军保密条例》等相关制度执行，以确保项目中涉及到总体单位、采购单位秘密信息以及项目参与方自身工程技术机密等不可对外泄漏；</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保密工作实行点对点管理办法，落实到人，做到有法可依，违法必究，责任落实到位。</w:t>
      </w:r>
    </w:p>
    <w:p>
      <w:pPr>
        <w:keepNext/>
        <w:keepLines w:val="0"/>
        <w:pageBreakBefore w:val="0"/>
        <w:widowControl w:val="0"/>
        <w:numPr>
          <w:ilvl w:val="0"/>
          <w:numId w:val="4"/>
        </w:numPr>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专利权要求</w:t>
      </w:r>
    </w:p>
    <w:p>
      <w:pPr>
        <w:pStyle w:val="7"/>
        <w:ind w:firstLine="1280" w:firstLineChars="4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无</w:t>
      </w:r>
    </w:p>
    <w:p>
      <w:pPr>
        <w:keepNext/>
        <w:keepLines w:val="0"/>
        <w:pageBreakBefore w:val="0"/>
        <w:widowControl w:val="0"/>
        <w:numPr>
          <w:ilvl w:val="0"/>
          <w:numId w:val="5"/>
        </w:numPr>
        <w:kinsoku/>
        <w:wordWrap/>
        <w:overflowPunct/>
        <w:topLinePunct w:val="0"/>
        <w:autoSpaceDE/>
        <w:autoSpaceDN/>
        <w:bidi w:val="0"/>
        <w:adjustRightInd/>
        <w:snapToGrid/>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报价要求</w:t>
      </w:r>
    </w:p>
    <w:p>
      <w:pPr>
        <w:keepLines w:val="0"/>
        <w:pageBreakBefore w:val="0"/>
        <w:widowControl w:val="0"/>
        <w:kinsoku/>
        <w:wordWrap/>
        <w:overflowPunct/>
        <w:topLinePunct w:val="0"/>
        <w:autoSpaceDE/>
        <w:autoSpaceDN/>
        <w:bidi w:val="0"/>
        <w:adjustRightInd/>
        <w:snapToGrid/>
        <w:spacing w:line="579" w:lineRule="exact"/>
        <w:ind w:firstLine="1292" w:firstLineChars="404"/>
        <w:rPr>
          <w:rFonts w:hint="default" w:eastAsia="仿宋_GB2312"/>
          <w:lang w:val="en-US" w:eastAsia="zh-CN"/>
        </w:rPr>
      </w:pPr>
      <w:r>
        <w:rPr>
          <w:rFonts w:hint="eastAsia" w:ascii="仿宋_GB2312" w:hAnsi="仿宋_GB2312" w:eastAsia="仿宋_GB2312"/>
          <w:color w:val="000000"/>
          <w:sz w:val="32"/>
          <w:szCs w:val="32"/>
        </w:rPr>
        <w:t>项目报价不超过最高限价。</w:t>
      </w:r>
      <w:r>
        <w:rPr>
          <w:rFonts w:hint="eastAsia" w:ascii="仿宋_GB2312" w:hAnsi="仿宋_GB2312" w:eastAsia="仿宋_GB2312"/>
          <w:color w:val="000000"/>
          <w:sz w:val="32"/>
          <w:szCs w:val="32"/>
          <w:lang w:val="en-US" w:eastAsia="zh-CN"/>
        </w:rPr>
        <w:t xml:space="preserve">          </w:t>
      </w:r>
    </w:p>
    <w:p>
      <w:pPr>
        <w:keepNext/>
        <w:keepLines w:val="0"/>
        <w:pageBreakBefore w:val="0"/>
        <w:widowControl w:val="0"/>
        <w:numPr>
          <w:ilvl w:val="0"/>
          <w:numId w:val="5"/>
        </w:numPr>
        <w:kinsoku/>
        <w:wordWrap/>
        <w:overflowPunct/>
        <w:topLinePunct w:val="0"/>
        <w:autoSpaceDE/>
        <w:autoSpaceDN/>
        <w:bidi w:val="0"/>
        <w:adjustRightInd/>
        <w:snapToGrid/>
        <w:spacing w:line="579" w:lineRule="exact"/>
        <w:ind w:left="0" w:leftChars="0" w:firstLine="640" w:firstLineChars="200"/>
        <w:outlineLvl w:val="1"/>
        <w:rPr>
          <w:rFonts w:hint="eastAsia" w:ascii="黑体" w:hAnsi="黑体" w:eastAsia="黑体"/>
          <w:sz w:val="32"/>
          <w:szCs w:val="32"/>
        </w:rPr>
      </w:pPr>
      <w:r>
        <w:rPr>
          <w:rFonts w:hint="eastAsia" w:ascii="黑体" w:hAnsi="黑体" w:eastAsia="黑体"/>
          <w:sz w:val="32"/>
          <w:szCs w:val="32"/>
        </w:rPr>
        <w:t>履约保证金</w:t>
      </w:r>
    </w:p>
    <w:p>
      <w:pPr>
        <w:pStyle w:val="7"/>
        <w:numPr>
          <w:ilvl w:val="0"/>
          <w:numId w:val="0"/>
        </w:numPr>
        <w:ind w:leftChars="200"/>
        <w:rPr>
          <w:rFonts w:hint="default" w:ascii="仿宋_GB2312" w:hAnsi="黑体" w:eastAsia="仿宋_GB2312" w:cs="Times New Roman"/>
          <w:kern w:val="2"/>
          <w:sz w:val="32"/>
          <w:szCs w:val="32"/>
          <w:lang w:val="en-US" w:eastAsia="zh-CN" w:bidi="ar-SA"/>
        </w:rPr>
      </w:pPr>
      <w:r>
        <w:rPr>
          <w:rFonts w:hint="eastAsia"/>
          <w:lang w:val="en-US" w:eastAsia="zh-CN"/>
        </w:rPr>
        <w:t xml:space="preserve">  </w:t>
      </w:r>
      <w:r>
        <w:rPr>
          <w:rFonts w:hint="eastAsia" w:ascii="仿宋_GB2312" w:hAnsi="黑体" w:eastAsia="仿宋_GB2312" w:cs="Times New Roman"/>
          <w:kern w:val="2"/>
          <w:sz w:val="32"/>
          <w:szCs w:val="32"/>
          <w:lang w:val="en-US" w:eastAsia="zh-CN" w:bidi="ar-SA"/>
        </w:rPr>
        <w:t xml:space="preserve">    无</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00A53"/>
    <w:multiLevelType w:val="singleLevel"/>
    <w:tmpl w:val="96900A53"/>
    <w:lvl w:ilvl="0" w:tentative="0">
      <w:start w:val="7"/>
      <w:numFmt w:val="chineseCounting"/>
      <w:suff w:val="nothing"/>
      <w:lvlText w:val="%1、"/>
      <w:lvlJc w:val="left"/>
      <w:rPr>
        <w:rFonts w:hint="eastAsia"/>
      </w:rPr>
    </w:lvl>
  </w:abstractNum>
  <w:abstractNum w:abstractNumId="1">
    <w:nsid w:val="AF24A5D7"/>
    <w:multiLevelType w:val="singleLevel"/>
    <w:tmpl w:val="AF24A5D7"/>
    <w:lvl w:ilvl="0" w:tentative="0">
      <w:start w:val="4"/>
      <w:numFmt w:val="chineseCounting"/>
      <w:suff w:val="nothing"/>
      <w:lvlText w:val="%1、"/>
      <w:lvlJc w:val="left"/>
      <w:rPr>
        <w:rFonts w:hint="eastAsia"/>
      </w:rPr>
    </w:lvl>
  </w:abstractNum>
  <w:abstractNum w:abstractNumId="2">
    <w:nsid w:val="053245B5"/>
    <w:multiLevelType w:val="singleLevel"/>
    <w:tmpl w:val="053245B5"/>
    <w:lvl w:ilvl="0" w:tentative="0">
      <w:start w:val="7"/>
      <w:numFmt w:val="chineseCounting"/>
      <w:suff w:val="nothing"/>
      <w:lvlText w:val="%1、"/>
      <w:lvlJc w:val="left"/>
      <w:rPr>
        <w:rFonts w:hint="eastAsia"/>
      </w:rPr>
    </w:lvl>
  </w:abstractNum>
  <w:abstractNum w:abstractNumId="3">
    <w:nsid w:val="54A22F0D"/>
    <w:multiLevelType w:val="singleLevel"/>
    <w:tmpl w:val="54A22F0D"/>
    <w:lvl w:ilvl="0" w:tentative="0">
      <w:start w:val="1"/>
      <w:numFmt w:val="chineseCounting"/>
      <w:suff w:val="nothing"/>
      <w:lvlText w:val="%1、"/>
      <w:lvlJc w:val="left"/>
      <w:rPr>
        <w:rFonts w:hint="eastAsia"/>
      </w:rPr>
    </w:lvl>
  </w:abstractNum>
  <w:abstractNum w:abstractNumId="4">
    <w:nsid w:val="75CECACD"/>
    <w:multiLevelType w:val="singleLevel"/>
    <w:tmpl w:val="75CECACD"/>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ThmNzUwYTdiYWNjN2IyOTFiY2ZkNzFiNjM5ZWEifQ=="/>
  </w:docVars>
  <w:rsids>
    <w:rsidRoot w:val="49F21C8F"/>
    <w:rsid w:val="0EDC4C9A"/>
    <w:rsid w:val="25755282"/>
    <w:rsid w:val="452627CB"/>
    <w:rsid w:val="49F21C8F"/>
    <w:rsid w:val="4B2837C7"/>
    <w:rsid w:val="5D556CD3"/>
    <w:rsid w:val="5DDA41DA"/>
    <w:rsid w:val="62983866"/>
    <w:rsid w:val="634B3FF6"/>
    <w:rsid w:val="669577B8"/>
    <w:rsid w:val="709A07A6"/>
    <w:rsid w:val="78FB1A1B"/>
    <w:rsid w:val="7AF74DBE"/>
    <w:rsid w:val="7E18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pPr>
      <w:keepNext/>
      <w:jc w:val="center"/>
    </w:pPr>
    <w:rPr>
      <w:rFonts w:ascii="黑体" w:hAnsi="黑体" w:eastAsia="黑体" w:cstheme="majorBidi"/>
      <w:b/>
      <w:sz w:val="28"/>
      <w:szCs w:val="28"/>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1"/>
    <w:next w:val="1"/>
    <w:qFormat/>
    <w:uiPriority w:val="99"/>
    <w:pPr>
      <w:spacing w:after="120" w:line="275" w:lineRule="atLeast"/>
      <w:ind w:firstLine="420"/>
      <w:textAlignment w:val="baseline"/>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autoRedefine/>
    <w:qFormat/>
    <w:uiPriority w:val="34"/>
    <w:pPr>
      <w:ind w:left="720"/>
      <w:contextualSpacing/>
    </w:pPr>
  </w:style>
  <w:style w:type="paragraph" w:customStyle="1" w:styleId="12">
    <w:name w:val="表格文字"/>
    <w:basedOn w:val="1"/>
    <w:autoRedefine/>
    <w:qFormat/>
    <w:uiPriority w:val="0"/>
    <w:pPr>
      <w:jc w:val="center"/>
    </w:pPr>
    <w:rPr>
      <w:sz w:val="20"/>
    </w:rPr>
  </w:style>
  <w:style w:type="paragraph" w:customStyle="1" w:styleId="13">
    <w:name w:val="列出段落1"/>
    <w:basedOn w:val="1"/>
    <w:autoRedefine/>
    <w:qFormat/>
    <w:uiPriority w:val="0"/>
    <w:pPr>
      <w:ind w:firstLine="420" w:firstLineChars="200"/>
    </w:pPr>
    <w:rPr>
      <w:kern w:val="0"/>
      <w:sz w:val="24"/>
    </w:rPr>
  </w:style>
  <w:style w:type="paragraph" w:customStyle="1" w:styleId="14">
    <w:name w:val="正文文本1"/>
    <w:basedOn w:val="1"/>
    <w:qFormat/>
    <w:uiPriority w:val="0"/>
    <w:pPr>
      <w:spacing w:after="120"/>
    </w:pPr>
    <w:rPr>
      <w:rFonts w:ascii="Times New Roman" w:hAnsi="Times New Roman" w:eastAsia="宋体" w:cs="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3218</Words>
  <Characters>3487</Characters>
  <Lines>0</Lines>
  <Paragraphs>0</Paragraphs>
  <TotalTime>888</TotalTime>
  <ScaleCrop>false</ScaleCrop>
  <LinksUpToDate>false</LinksUpToDate>
  <CharactersWithSpaces>3544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2024-10-31T10:29:00Z</dcterms:created>
  <dc:creator>Li</dc:creator>
  <cp:lastModifiedBy>Li</cp:lastModifiedBy>
  <dcterms:modified xsi:type="dcterms:W3CDTF">2024-11-08T00:10:07Z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8B74C5D306F0437F8234BC063E79BA6C_13</vt:lpwstr>
  </property>
</Properties>
</file>