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156" w:beforeLines="50" w:after="156" w:afterLines="50" w:line="57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采购意向公开</w:t>
      </w:r>
    </w:p>
    <w:p>
      <w:pPr>
        <w:tabs>
          <w:tab w:val="left" w:pos="993"/>
          <w:tab w:val="left" w:pos="1134"/>
          <w:tab w:val="left" w:pos="1418"/>
        </w:tabs>
        <w:overflowPunct w:val="0"/>
        <w:spacing w:line="570" w:lineRule="exact"/>
        <w:ind w:firstLine="640" w:firstLineChars="200"/>
        <w:rPr>
          <w:rFonts w:ascii="仿宋_GB2312" w:hAnsi="Arial" w:cs="Arial"/>
        </w:rPr>
      </w:pPr>
      <w:r>
        <w:rPr>
          <w:rFonts w:hint="eastAsia" w:ascii="仿宋_GB2312" w:hAnsi="Arial" w:cs="Arial"/>
        </w:rPr>
        <w:t>为便于供应商及时了解军队采购信息，根据《军队物资服务集中采购需求管理暂行办法》等有关规定，现将</w:t>
      </w:r>
      <w:r>
        <w:rPr>
          <w:rFonts w:hint="eastAsia" w:ascii="仿宋_GB2312" w:hAnsi="Arial" w:cs="Arial"/>
          <w:u w:val="single"/>
        </w:rPr>
        <w:t>重庆某部</w:t>
      </w:r>
      <w:r>
        <w:rPr>
          <w:rFonts w:hint="eastAsia" w:ascii="仿宋_GB2312" w:hAnsi="Arial" w:cs="Arial"/>
        </w:rPr>
        <w:t>的</w:t>
      </w:r>
      <w:r>
        <w:rPr>
          <w:rFonts w:hint="eastAsia" w:ascii="仿宋_GB2312" w:hAnsi="Arial" w:cs="Arial"/>
          <w:u w:val="single"/>
          <w:lang w:val="en-US" w:eastAsia="zh-CN"/>
        </w:rPr>
        <w:t>安全软硬件</w:t>
      </w:r>
      <w:r>
        <w:rPr>
          <w:rFonts w:hint="eastAsia" w:ascii="仿宋_GB2312" w:hAnsi="Arial" w:cs="Arial"/>
        </w:rPr>
        <w:t>采购意向公开如下：</w:t>
      </w:r>
    </w:p>
    <w:tbl>
      <w:tblPr>
        <w:tblStyle w:val="5"/>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1488"/>
        <w:gridCol w:w="2056"/>
        <w:gridCol w:w="1276"/>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10" w:type="dxa"/>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序号</w:t>
            </w:r>
          </w:p>
        </w:tc>
        <w:tc>
          <w:tcPr>
            <w:tcW w:w="1276" w:type="dxa"/>
            <w:vAlign w:val="center"/>
          </w:tcPr>
          <w:p>
            <w:pPr>
              <w:tabs>
                <w:tab w:val="left" w:pos="993"/>
                <w:tab w:val="left" w:pos="1134"/>
                <w:tab w:val="left" w:pos="1168"/>
              </w:tabs>
              <w:overflowPunct w:val="0"/>
              <w:jc w:val="center"/>
              <w:rPr>
                <w:rFonts w:ascii="黑体" w:hAnsi="黑体" w:eastAsia="黑体" w:cs="Arial"/>
                <w:sz w:val="24"/>
                <w:szCs w:val="20"/>
              </w:rPr>
            </w:pPr>
            <w:r>
              <w:rPr>
                <w:rFonts w:hint="eastAsia" w:ascii="黑体" w:hAnsi="黑体" w:eastAsia="黑体" w:cs="Arial"/>
                <w:sz w:val="24"/>
                <w:szCs w:val="20"/>
              </w:rPr>
              <w:t>采购项目名    称</w:t>
            </w:r>
          </w:p>
        </w:tc>
        <w:tc>
          <w:tcPr>
            <w:tcW w:w="1488" w:type="dxa"/>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需求概况</w:t>
            </w:r>
          </w:p>
        </w:tc>
        <w:tc>
          <w:tcPr>
            <w:tcW w:w="2056" w:type="dxa"/>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初步技术</w:t>
            </w:r>
            <w:r>
              <w:rPr>
                <w:rFonts w:ascii="黑体" w:hAnsi="黑体" w:eastAsia="黑体" w:cs="Arial"/>
                <w:sz w:val="24"/>
                <w:szCs w:val="20"/>
              </w:rPr>
              <w:br w:type="textWrapping"/>
            </w:r>
            <w:r>
              <w:rPr>
                <w:rFonts w:hint="eastAsia" w:ascii="黑体" w:hAnsi="黑体" w:eastAsia="黑体" w:cs="Arial"/>
                <w:sz w:val="24"/>
                <w:szCs w:val="20"/>
              </w:rPr>
              <w:t>参    数</w:t>
            </w:r>
          </w:p>
        </w:tc>
        <w:tc>
          <w:tcPr>
            <w:tcW w:w="1276" w:type="dxa"/>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预算金额</w:t>
            </w:r>
          </w:p>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（万元）</w:t>
            </w:r>
          </w:p>
        </w:tc>
        <w:tc>
          <w:tcPr>
            <w:tcW w:w="1276" w:type="dxa"/>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预计采购时    间</w:t>
            </w:r>
          </w:p>
        </w:tc>
        <w:tc>
          <w:tcPr>
            <w:tcW w:w="992" w:type="dxa"/>
            <w:vAlign w:val="center"/>
          </w:tcPr>
          <w:p>
            <w:pPr>
              <w:tabs>
                <w:tab w:val="left" w:pos="993"/>
                <w:tab w:val="left" w:pos="1134"/>
                <w:tab w:val="left" w:pos="1418"/>
              </w:tabs>
              <w:overflowPunct w:val="0"/>
              <w:jc w:val="center"/>
              <w:rPr>
                <w:rFonts w:ascii="黑体" w:hAnsi="黑体" w:eastAsia="黑体" w:cs="Arial"/>
                <w:sz w:val="24"/>
                <w:szCs w:val="20"/>
              </w:rPr>
            </w:pPr>
            <w:r>
              <w:rPr>
                <w:rFonts w:hint="eastAsia" w:ascii="黑体" w:hAnsi="黑体" w:eastAsia="黑体" w:cs="Arial"/>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710" w:type="dxa"/>
            <w:vAlign w:val="center"/>
          </w:tcPr>
          <w:p>
            <w:pPr>
              <w:tabs>
                <w:tab w:val="left" w:pos="993"/>
                <w:tab w:val="left" w:pos="1134"/>
                <w:tab w:val="left" w:pos="1418"/>
              </w:tabs>
              <w:overflowPunct w:val="0"/>
              <w:spacing w:line="360" w:lineRule="exact"/>
              <w:rPr>
                <w:rFonts w:ascii="仿宋_GB2312" w:hAnsi="宋体" w:cs="Arial"/>
                <w:sz w:val="24"/>
              </w:rPr>
            </w:pPr>
            <w:r>
              <w:rPr>
                <w:rFonts w:hint="eastAsia" w:ascii="仿宋_GB2312" w:hAnsi="宋体" w:cs="Arial"/>
                <w:sz w:val="24"/>
              </w:rPr>
              <w:t>1</w:t>
            </w:r>
          </w:p>
        </w:tc>
        <w:tc>
          <w:tcPr>
            <w:tcW w:w="1276" w:type="dxa"/>
            <w:vAlign w:val="center"/>
          </w:tcPr>
          <w:p>
            <w:pPr>
              <w:tabs>
                <w:tab w:val="left" w:pos="993"/>
                <w:tab w:val="left" w:pos="1134"/>
                <w:tab w:val="left" w:pos="1418"/>
              </w:tabs>
              <w:overflowPunct w:val="0"/>
              <w:spacing w:line="360" w:lineRule="exact"/>
              <w:jc w:val="center"/>
              <w:rPr>
                <w:rFonts w:hint="default" w:ascii="仿宋_GB2312" w:hAnsi="宋体" w:eastAsia="仿宋_GB2312" w:cs="Arial"/>
                <w:sz w:val="24"/>
                <w:lang w:val="en-US" w:eastAsia="zh-CN"/>
              </w:rPr>
            </w:pPr>
            <w:r>
              <w:rPr>
                <w:rFonts w:hint="eastAsia" w:ascii="仿宋_GB2312" w:hAnsi="宋体" w:cs="Arial"/>
                <w:sz w:val="24"/>
                <w:lang w:val="en-US" w:eastAsia="zh-CN"/>
              </w:rPr>
              <w:t>安全保密设备</w:t>
            </w:r>
          </w:p>
        </w:tc>
        <w:tc>
          <w:tcPr>
            <w:tcW w:w="1488" w:type="dxa"/>
            <w:vAlign w:val="center"/>
          </w:tcPr>
          <w:p>
            <w:pPr>
              <w:tabs>
                <w:tab w:val="left" w:pos="993"/>
                <w:tab w:val="left" w:pos="1134"/>
                <w:tab w:val="left" w:pos="1418"/>
              </w:tabs>
              <w:overflowPunct w:val="0"/>
              <w:spacing w:line="360" w:lineRule="exact"/>
              <w:rPr>
                <w:rFonts w:hint="default" w:ascii="仿宋_GB2312" w:hAnsi="宋体" w:eastAsia="仿宋_GB2312" w:cs="Arial"/>
                <w:sz w:val="24"/>
                <w:lang w:val="en-US" w:eastAsia="zh-CN"/>
              </w:rPr>
            </w:pPr>
            <w:r>
              <w:rPr>
                <w:rFonts w:hint="eastAsia" w:ascii="仿宋_GB2312" w:hAnsi="宋体" w:cs="Arial"/>
                <w:sz w:val="24"/>
                <w:lang w:val="en-US" w:eastAsia="zh-CN"/>
              </w:rPr>
              <w:t>内外网安全防护软硬件，以及一次性传输介质</w:t>
            </w:r>
          </w:p>
        </w:tc>
        <w:tc>
          <w:tcPr>
            <w:tcW w:w="2056" w:type="dxa"/>
            <w:vAlign w:val="center"/>
          </w:tcPr>
          <w:p>
            <w:pPr>
              <w:tabs>
                <w:tab w:val="left" w:pos="993"/>
                <w:tab w:val="left" w:pos="1134"/>
                <w:tab w:val="left" w:pos="1418"/>
              </w:tabs>
              <w:overflowPunct w:val="0"/>
              <w:spacing w:line="360" w:lineRule="exact"/>
              <w:jc w:val="center"/>
              <w:rPr>
                <w:rFonts w:hint="default" w:ascii="仿宋_GB2312" w:hAnsi="宋体" w:eastAsia="仿宋_GB2312" w:cs="Arial"/>
                <w:sz w:val="24"/>
                <w:szCs w:val="20"/>
                <w:lang w:val="en-US" w:eastAsia="zh-CN"/>
              </w:rPr>
            </w:pPr>
            <w:r>
              <w:rPr>
                <w:rFonts w:hint="eastAsia" w:ascii="仿宋_GB2312" w:hAnsi="宋体" w:cs="Arial"/>
                <w:sz w:val="24"/>
                <w:szCs w:val="20"/>
                <w:lang w:val="en-US" w:eastAsia="zh-CN"/>
              </w:rPr>
              <w:t>详见附件</w:t>
            </w:r>
          </w:p>
        </w:tc>
        <w:tc>
          <w:tcPr>
            <w:tcW w:w="1276" w:type="dxa"/>
            <w:vAlign w:val="center"/>
          </w:tcPr>
          <w:p>
            <w:pPr>
              <w:tabs>
                <w:tab w:val="left" w:pos="993"/>
                <w:tab w:val="left" w:pos="1134"/>
                <w:tab w:val="left" w:pos="1418"/>
              </w:tabs>
              <w:overflowPunct w:val="0"/>
              <w:spacing w:line="360" w:lineRule="exact"/>
              <w:jc w:val="center"/>
              <w:rPr>
                <w:rFonts w:hint="default" w:ascii="仿宋_GB2312" w:hAnsi="宋体" w:eastAsia="仿宋_GB2312" w:cs="Arial"/>
                <w:sz w:val="24"/>
                <w:lang w:val="en-US" w:eastAsia="zh-CN"/>
              </w:rPr>
            </w:pPr>
            <w:r>
              <w:rPr>
                <w:rFonts w:hint="eastAsia" w:ascii="仿宋_GB2312" w:hAnsi="宋体" w:cs="Arial"/>
                <w:sz w:val="24"/>
                <w:lang w:val="en-US" w:eastAsia="zh-CN"/>
              </w:rPr>
              <w:t>497</w:t>
            </w:r>
          </w:p>
        </w:tc>
        <w:tc>
          <w:tcPr>
            <w:tcW w:w="1276" w:type="dxa"/>
            <w:vAlign w:val="center"/>
          </w:tcPr>
          <w:p>
            <w:pPr>
              <w:tabs>
                <w:tab w:val="left" w:pos="993"/>
                <w:tab w:val="left" w:pos="1134"/>
                <w:tab w:val="left" w:pos="1418"/>
              </w:tabs>
              <w:overflowPunct w:val="0"/>
              <w:spacing w:line="360" w:lineRule="exact"/>
              <w:jc w:val="center"/>
              <w:rPr>
                <w:rFonts w:ascii="仿宋_GB2312" w:hAnsi="宋体" w:cs="Arial"/>
                <w:sz w:val="24"/>
              </w:rPr>
            </w:pPr>
            <w:r>
              <w:rPr>
                <w:rFonts w:hint="eastAsia" w:ascii="仿宋_GB2312" w:hAnsi="宋体" w:cs="Arial"/>
                <w:sz w:val="24"/>
                <w:szCs w:val="20"/>
              </w:rPr>
              <w:t>2023年</w:t>
            </w:r>
            <w:r>
              <w:rPr>
                <w:rFonts w:hint="eastAsia" w:ascii="仿宋_GB2312" w:hAnsi="宋体" w:cs="Arial"/>
                <w:sz w:val="24"/>
                <w:szCs w:val="20"/>
                <w:lang w:val="en-US" w:eastAsia="zh-CN"/>
              </w:rPr>
              <w:t>8</w:t>
            </w:r>
            <w:r>
              <w:rPr>
                <w:rFonts w:hint="eastAsia" w:ascii="仿宋_GB2312" w:hAnsi="宋体" w:cs="Arial"/>
                <w:sz w:val="24"/>
                <w:szCs w:val="20"/>
              </w:rPr>
              <w:t>月</w:t>
            </w:r>
          </w:p>
        </w:tc>
        <w:tc>
          <w:tcPr>
            <w:tcW w:w="992" w:type="dxa"/>
            <w:vAlign w:val="center"/>
          </w:tcPr>
          <w:p>
            <w:pPr>
              <w:tabs>
                <w:tab w:val="left" w:pos="993"/>
                <w:tab w:val="left" w:pos="1134"/>
                <w:tab w:val="left" w:pos="1418"/>
              </w:tabs>
              <w:overflowPunct w:val="0"/>
              <w:spacing w:line="360" w:lineRule="exact"/>
              <w:jc w:val="center"/>
              <w:rPr>
                <w:rFonts w:ascii="仿宋_GB2312" w:hAnsi="宋体" w:cs="Arial"/>
                <w:sz w:val="24"/>
              </w:rPr>
            </w:pPr>
            <w:r>
              <w:rPr>
                <w:rFonts w:hint="eastAsia" w:ascii="仿宋_GB2312" w:hAnsi="宋体" w:cs="Arial"/>
                <w:sz w:val="24"/>
              </w:rPr>
              <w:t>无</w:t>
            </w:r>
          </w:p>
        </w:tc>
      </w:tr>
    </w:tbl>
    <w:p>
      <w:pPr>
        <w:tabs>
          <w:tab w:val="left" w:pos="993"/>
          <w:tab w:val="left" w:pos="1134"/>
        </w:tabs>
        <w:overflowPunct w:val="0"/>
        <w:spacing w:line="570" w:lineRule="exact"/>
        <w:ind w:left="1457" w:leftChars="200" w:hanging="817" w:hangingChars="292"/>
        <w:rPr>
          <w:rFonts w:ascii="仿宋_GB2312" w:hAnsi="Arial" w:cs="Arial"/>
          <w:sz w:val="28"/>
        </w:rPr>
      </w:pPr>
      <w:r>
        <w:rPr>
          <w:rFonts w:hint="eastAsia" w:ascii="仿宋_GB2312" w:hAnsi="Arial" w:cs="Arial"/>
          <w:sz w:val="28"/>
        </w:rPr>
        <w:t>注：1.本次公开的采购意向仅作为供应商了解初步采购安排的参考，采购项目具体情况以最终发布的采购公告和采购文件为准；</w:t>
      </w:r>
    </w:p>
    <w:p>
      <w:pPr>
        <w:tabs>
          <w:tab w:val="left" w:pos="993"/>
          <w:tab w:val="left" w:pos="1134"/>
          <w:tab w:val="left" w:pos="1418"/>
        </w:tabs>
        <w:overflowPunct w:val="0"/>
        <w:spacing w:line="570" w:lineRule="exact"/>
        <w:ind w:firstLine="1139" w:firstLineChars="407"/>
        <w:rPr>
          <w:rFonts w:ascii="仿宋_GB2312" w:hAnsi="Arial" w:cs="Arial"/>
          <w:sz w:val="28"/>
        </w:rPr>
      </w:pPr>
      <w:r>
        <w:rPr>
          <w:rFonts w:hint="eastAsia" w:ascii="仿宋_GB2312" w:hAnsi="Arial" w:cs="Arial"/>
          <w:sz w:val="28"/>
        </w:rPr>
        <w:t>2.供应商可以通过军队采购平台反馈参与意向和意见建议。</w:t>
      </w:r>
    </w:p>
    <w:p>
      <w:pPr>
        <w:tabs>
          <w:tab w:val="left" w:pos="993"/>
          <w:tab w:val="left" w:pos="1134"/>
          <w:tab w:val="left" w:pos="1418"/>
        </w:tabs>
        <w:overflowPunct w:val="0"/>
        <w:spacing w:line="570" w:lineRule="exact"/>
        <w:ind w:firstLine="1120" w:firstLineChars="350"/>
        <w:rPr>
          <w:rFonts w:ascii="仿宋_GB2312" w:hAnsi="Arial" w:cs="Arial"/>
        </w:rPr>
      </w:pPr>
      <w:r>
        <w:rPr>
          <w:rFonts w:hint="eastAsia" w:ascii="仿宋_GB2312" w:hAnsi="Arial" w:cs="Arial"/>
        </w:rPr>
        <w:t xml:space="preserve">                        </w:t>
      </w:r>
    </w:p>
    <w:p>
      <w:pPr>
        <w:tabs>
          <w:tab w:val="left" w:pos="993"/>
          <w:tab w:val="left" w:pos="1134"/>
          <w:tab w:val="left" w:pos="1418"/>
        </w:tabs>
        <w:overflowPunct w:val="0"/>
        <w:spacing w:line="570" w:lineRule="exact"/>
        <w:ind w:right="278" w:firstLine="960" w:firstLineChars="300"/>
        <w:jc w:val="center"/>
        <w:rPr>
          <w:rFonts w:ascii="仿宋_GB2312" w:hAnsi="Arial" w:cs="Arial"/>
        </w:rPr>
      </w:pPr>
      <w:r>
        <w:rPr>
          <w:rFonts w:hint="eastAsia" w:ascii="仿宋_GB2312" w:hAnsi="Arial" w:cs="Arial"/>
        </w:rPr>
        <w:t xml:space="preserve">                        </w:t>
      </w:r>
      <w:r>
        <w:rPr>
          <w:rFonts w:hint="eastAsia" w:ascii="黑体" w:hAnsi="黑体" w:eastAsia="黑体" w:cs="宋体"/>
          <w:sz w:val="24"/>
        </w:rPr>
        <w:t xml:space="preserve">          </w:t>
      </w:r>
      <w:r>
        <w:rPr>
          <w:rFonts w:hint="eastAsia" w:ascii="仿宋_GB2312" w:hAnsi="Arial" w:cs="Arial"/>
        </w:rPr>
        <w:t>重庆某部</w:t>
      </w:r>
      <w:bookmarkStart w:id="0" w:name="_GoBack"/>
      <w:bookmarkEnd w:id="0"/>
    </w:p>
    <w:p>
      <w:pPr>
        <w:overflowPunct w:val="0"/>
        <w:spacing w:line="570" w:lineRule="exact"/>
        <w:ind w:firstLine="5760" w:firstLineChars="1800"/>
        <w:rPr>
          <w:rFonts w:ascii="仿宋_GB2312" w:hAnsi="Arial" w:cs="Arial"/>
        </w:rPr>
      </w:pPr>
      <w:r>
        <w:rPr>
          <w:rFonts w:hint="eastAsia" w:ascii="仿宋_GB2312" w:hAnsi="Arial" w:cs="Arial"/>
        </w:rPr>
        <w:t>2023年</w:t>
      </w:r>
      <w:r>
        <w:rPr>
          <w:rFonts w:hint="eastAsia" w:ascii="仿宋_GB2312" w:hAnsi="Arial" w:cs="Arial"/>
          <w:lang w:val="en-US" w:eastAsia="zh-CN"/>
        </w:rPr>
        <w:t>7</w:t>
      </w:r>
      <w:r>
        <w:rPr>
          <w:rFonts w:hint="eastAsia" w:ascii="仿宋_GB2312" w:hAnsi="Arial" w:cs="Arial"/>
        </w:rPr>
        <w:t>月</w:t>
      </w:r>
      <w:r>
        <w:rPr>
          <w:rFonts w:hint="eastAsia" w:ascii="仿宋_GB2312" w:hAnsi="Arial" w:cs="Arial"/>
          <w:lang w:val="en-US" w:eastAsia="zh-CN"/>
        </w:rPr>
        <w:t>3</w:t>
      </w:r>
      <w:r>
        <w:rPr>
          <w:rFonts w:hint="eastAsia" w:ascii="仿宋_GB2312" w:hAnsi="Arial" w:cs="Arial"/>
        </w:rPr>
        <w:t>日</w:t>
      </w:r>
    </w:p>
    <w:p>
      <w:pPr>
        <w:widowControl/>
        <w:jc w:val="left"/>
        <w:rPr>
          <w:rFonts w:ascii="仿宋_GB2312" w:hAnsi="Arial" w:cs="Arial"/>
          <w:sz w:val="28"/>
        </w:rPr>
      </w:pPr>
      <w:r>
        <w:rPr>
          <w:rFonts w:ascii="仿宋_GB2312" w:hAnsi="Arial" w:cs="Arial"/>
          <w:sz w:val="28"/>
        </w:rPr>
        <w:br w:type="page"/>
      </w:r>
    </w:p>
    <w:p>
      <w:pPr>
        <w:rPr>
          <w:rFonts w:ascii="黑体" w:hAnsi="黑体" w:eastAsia="黑体"/>
        </w:rPr>
      </w:pPr>
      <w:r>
        <w:rPr>
          <w:rFonts w:hint="eastAsia" w:ascii="黑体" w:hAnsi="黑体" w:eastAsia="黑体"/>
        </w:rPr>
        <w:t>附件</w:t>
      </w:r>
    </w:p>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1273"/>
        <w:gridCol w:w="2855"/>
        <w:gridCol w:w="736"/>
        <w:gridCol w:w="740"/>
        <w:gridCol w:w="2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blHeader/>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名称</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初步参数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数量</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产品入围要求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（一）外网安全保密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服务器区域防火墙</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1、服务器区域防火墙一台部署于物理服务器区出口,网络处理能力≥35Gbps，并发连接≥1000万，每秒新建连接≥40万/秒。</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《军用关键软硬件自主可控产品名录（最新版）》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2、实现重要业务区域与其他区域的逻辑隔离，同时开启防病毒与防入侵模块进行综合性防护。</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学术网出口防火墙</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1、外网出口防火墙一台部署于物理服务器区出口,网络处理能力≥35Gbps，并发连接≥1000万，每秒新建连接≥40万。</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《军用关键软硬件自主可控产品名录（最新版）》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2、实现重要业务区域与其他区域的逻辑隔离，同时开启防病毒与防入侵模块进行综合性防护。</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入侵检测</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1、部署在核心业务服务器区域，处理性能≥8G，并发连接数≥200万，每秒新建连接数≥5万；</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《军用关键软硬件自主可控产品名录（最新版）》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2、对流经核心的所有流量进行检测，与安全运营平台联动处置，发现入侵行为并及时告警。</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Web应用防火墙</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1、部署在核心业务服务器区域，网络吞吐量为6Gbps，应用层处理能力为1.5Gbps，网络并发连接数120万，HTTP并发为80万，HTTP新建连接数大于15000/s；</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2、保护数据中心的web应用系统不受到恶意攻击的影响，与安全运营平台联动处置。</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堡垒机</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1、部署在安全管理中心区域，处理性能：最大字符连接≥400个，最大图型连接≥150个；</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2、实现对系统内的网络设备、数据库、安全设备、主机系统、中间件等资源统一运维管理和审计，避免非法的未经授权的访问</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邮件防泄漏</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1、部署在安全管理中心区域，最大邮件处理性能≥25封/秒，文件扫描最大速度≥30MB/秒；</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网络防泄漏系统</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1、部署在安全管理中心区域，支持镜像流量≥1G/s,内容扫描速度≥30MB/S；</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2、对可能存在的敏感数据传输情况进行发现与分析，阻断敏感数据的外发。</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态势感知（含探针）</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1、部署在安全管理中心区域，数据处理能力≥1G；</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2、实现对全网数据的采集与分析，同时接受各类设备的告警日志进行关联分析，展现全网的安全状况；</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3、与本次新建安全设备、现网安全设备无缝对接，实现联动处置，自动下发处置命令到各安全设备，实现秒级应急处置，确保校园网各边界安全。</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数据库审计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1、旁挂部署在数据库服务器区域，业务流量处理能力≥2G，处理能力≥30000条/秒，不限制数据库实例；</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2、用于数据安全事故的追根溯源，加强内外部数据库网络行为的监控与审计，提高数据资产安全。</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漏洞扫描</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1、无限制范围的IP地址或域名扫描授权，并发扫描任务数≥10个；</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2、支持资产脆弱性扫描及边界完整性检查，作为安全运营平台的探针，为安全运营平台提供全网资产漏洞、弱口令、基线检查、违规外联、违规内联等威胁情报等能力</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网络准入系统</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支持办公网、视频监控网、物联网等多种终端设备类型的混合网络场景，实现设备发现、网络边界管理、入网控制、合规评估等泛终端准入控制管理功能。。整机支持不少于5000个终端认证或8G网络流量处理能力。</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（二）内网安全保密</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下一代防火墙</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1、在各个核心区域对外的出口处，网络处理能力≥35Gbps，并发连接≥1000万，每秒新建连接≥40万/秒。2、实现重要业务区域与其他区域的逻辑隔离，同时开启防病毒与防入侵模块进行综合性防护。</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《军用关键软硬件自主可控产品名录（最新版）》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入侵防御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1、万兆入侵防御系统不少于2台，部署在业务系统对外的出口处，网络层吞吐量≥10Gbps，IPS吞吐量≥6Gbps，最大并发连接数≥200万，每秒新建连接数≥10万/秒。</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《军用关键软硬件自主可控产品名录（最新版）》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2、实现系统出口处入侵行为的检测与阻断，保障业务不受各类攻击行为的影响。</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数据库防火墙</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1、数据库防火墙一台，部署在安全管理中心区域，内置≥4TB磁盘存储空间；性能≥32000条SQL/秒；≥6个千兆自适应电口，≥2个扩展槽位。</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2、对访问数据库的网络数据包进行实时的监控和分析，对非法的访问行为及时进行阻断，保障数据库的安全稳定。</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堡垒机</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1、处理性能：最大字符连接≥400个，最大图型连接≥150个；2、实现对系统内的网络设备、数据库、安全设备、主机系统、中间件等资源统一运维管理和审计，避免非法的未经授权的访问。</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API安全监测</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1、API安全监测系统一套，部署在安全管理中心区域，网络层吞吐量≥1Gbps。2、实现系统全局API接口调用数据的检测，发现潜在的API资产并可进行安全评估。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上网行为管理</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1、上网行为管理一台，部署在安全管理中心区域， ≥1G带宽/15000人网络环境使用，最大并发连接数为60万;最大新建连接数为5万/秒</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2、对系统内需要入网的各类终端进行行为的分析与管控。</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数据库审计</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1、数据库审计一台，旁路部署在安全管理中心区域，事件处理≥30000条/秒。</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2、用于数据安全事故的追根溯源，加强内外部数据库网络行为的监控与审计，提高数据资产安全。</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漏洞扫描</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1、漏洞扫描系统一台，部署在安全管理中心区域，Web扫描域名无限制，Web扫描任务并发数≥10个域名。系统扫描IP地址≥1024个。</w:t>
            </w:r>
          </w:p>
        </w:tc>
        <w:tc>
          <w:tcPr>
            <w:tcW w:w="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21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2、对全网的安全威胁与漏洞情况进行探测分析，并形成漏洞扫描报告，针对问题的分析与整改建议有利于现场运维人员更好地进行系统维护工作。</w:t>
            </w:r>
          </w:p>
        </w:tc>
        <w:tc>
          <w:tcPr>
            <w:tcW w:w="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c>
          <w:tcPr>
            <w:tcW w:w="21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2"/>
                <w:szCs w:val="22"/>
                <w:u w:val="none"/>
              </w:rPr>
            </w:pPr>
            <w:r>
              <w:rPr>
                <w:rFonts w:hint="eastAsia" w:ascii="仿宋_GB2312" w:hAnsi="宋体" w:eastAsia="仿宋_GB2312" w:cs="仿宋_GB2312"/>
                <w:b/>
                <w:bCs/>
                <w:i w:val="0"/>
                <w:iCs w:val="0"/>
                <w:color w:val="000000"/>
                <w:kern w:val="0"/>
                <w:sz w:val="22"/>
                <w:szCs w:val="22"/>
                <w:u w:val="none"/>
                <w:lang w:val="en-US" w:eastAsia="zh-CN" w:bidi="ar"/>
              </w:rPr>
              <w:t>（二）两网数据摆渡设备</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一次性传输介质</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1、满足物理隔离要求；</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2、在物理隔离的两张网络间实现可控制的数据摆渡，系统吞吐量≥3Gbps；</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3、数据库同步、文件交换、数据库访问、邮件访问、安全浏览、安全FTP、定制模块、工控访问等。</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台</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2"/>
                <w:szCs w:val="22"/>
                <w:u w:val="none"/>
              </w:rPr>
            </w:pPr>
          </w:p>
        </w:tc>
      </w:tr>
    </w:tbl>
    <w:p>
      <w:pPr>
        <w:ind w:firstLine="640" w:firstLineChars="200"/>
        <w:rPr>
          <w:rFonts w:hint="eastAsia"/>
        </w:rPr>
      </w:pPr>
    </w:p>
    <w:p>
      <w:pPr>
        <w:ind w:firstLine="64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zU5ZTc4YTNhNDJmMDI2ODk4ZGM0ZTBkMjg5ZjcifQ=="/>
  </w:docVars>
  <w:rsids>
    <w:rsidRoot w:val="00085B96"/>
    <w:rsid w:val="00040CFD"/>
    <w:rsid w:val="00085B96"/>
    <w:rsid w:val="00161C44"/>
    <w:rsid w:val="001E7218"/>
    <w:rsid w:val="0026319D"/>
    <w:rsid w:val="00430049"/>
    <w:rsid w:val="008D19BA"/>
    <w:rsid w:val="00907FE6"/>
    <w:rsid w:val="00A015D2"/>
    <w:rsid w:val="01585BDB"/>
    <w:rsid w:val="028F46E1"/>
    <w:rsid w:val="032D650E"/>
    <w:rsid w:val="089A462A"/>
    <w:rsid w:val="09B15956"/>
    <w:rsid w:val="0D1874E4"/>
    <w:rsid w:val="0EF6634E"/>
    <w:rsid w:val="10077781"/>
    <w:rsid w:val="13913F79"/>
    <w:rsid w:val="17487963"/>
    <w:rsid w:val="18B26DC6"/>
    <w:rsid w:val="18D63D2D"/>
    <w:rsid w:val="191C7AF8"/>
    <w:rsid w:val="1ECF44C6"/>
    <w:rsid w:val="1F4338B2"/>
    <w:rsid w:val="1F9B5A80"/>
    <w:rsid w:val="1FF63267"/>
    <w:rsid w:val="23A3664D"/>
    <w:rsid w:val="24685C0B"/>
    <w:rsid w:val="27743E5C"/>
    <w:rsid w:val="27FA25B3"/>
    <w:rsid w:val="2A830F86"/>
    <w:rsid w:val="2CB371D5"/>
    <w:rsid w:val="2EDD72F4"/>
    <w:rsid w:val="308F5ECD"/>
    <w:rsid w:val="35175351"/>
    <w:rsid w:val="365A4DE8"/>
    <w:rsid w:val="3810372D"/>
    <w:rsid w:val="389C2C96"/>
    <w:rsid w:val="3A750709"/>
    <w:rsid w:val="3A872D51"/>
    <w:rsid w:val="3D8F2844"/>
    <w:rsid w:val="420F4A55"/>
    <w:rsid w:val="43291B47"/>
    <w:rsid w:val="436A5F2F"/>
    <w:rsid w:val="44D75CFE"/>
    <w:rsid w:val="4622744D"/>
    <w:rsid w:val="47ED08B6"/>
    <w:rsid w:val="492E6109"/>
    <w:rsid w:val="4C79769B"/>
    <w:rsid w:val="4D15740A"/>
    <w:rsid w:val="4D265A75"/>
    <w:rsid w:val="4F895E47"/>
    <w:rsid w:val="505226DD"/>
    <w:rsid w:val="518B234A"/>
    <w:rsid w:val="53073C53"/>
    <w:rsid w:val="537B019D"/>
    <w:rsid w:val="5A951B44"/>
    <w:rsid w:val="5E2A4056"/>
    <w:rsid w:val="5F416EB4"/>
    <w:rsid w:val="609603C4"/>
    <w:rsid w:val="639B3955"/>
    <w:rsid w:val="63D27965"/>
    <w:rsid w:val="650D6C14"/>
    <w:rsid w:val="65E12D7D"/>
    <w:rsid w:val="66442670"/>
    <w:rsid w:val="68A10776"/>
    <w:rsid w:val="68E36170"/>
    <w:rsid w:val="6AAB53B4"/>
    <w:rsid w:val="6C7A646F"/>
    <w:rsid w:val="714B22D6"/>
    <w:rsid w:val="73642846"/>
    <w:rsid w:val="74F76AF1"/>
    <w:rsid w:val="77C655DB"/>
    <w:rsid w:val="77F959B0"/>
    <w:rsid w:val="7A431165"/>
    <w:rsid w:val="7AC87A19"/>
    <w:rsid w:val="7BD96F9B"/>
    <w:rsid w:val="7EB5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仿宋_GB2312" w:cs="Times New Roman"/>
      <w:kern w:val="2"/>
      <w:sz w:val="18"/>
      <w:szCs w:val="18"/>
      <w:lang w:val="en-US" w:eastAsia="zh-CN"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3"/>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2383</Words>
  <Characters>2549</Characters>
  <Lines>4</Lines>
  <Paragraphs>1</Paragraphs>
  <TotalTime>0</TotalTime>
  <ScaleCrop>false</ScaleCrop>
  <LinksUpToDate>false</LinksUpToDate>
  <CharactersWithSpaces>2620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2023-04-18T07:49:00Z</dcterms:created>
  <dc:creator>Administrator</dc:creator>
  <cp:lastModifiedBy>小王007</cp:lastModifiedBy>
  <cp:lastPrinted>2023-06-26T09:27:00Z</cp:lastPrinted>
  <dcterms:modified xsi:type="dcterms:W3CDTF">2023-07-03T02:25:57Z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C1C546FAB9524CDF968680A544F8E7B5_12</vt:lpwstr>
  </property>
</Properties>
</file>