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808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608F2C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2EDDE5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6E0D8F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14:paraId="348A82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14:paraId="73AE78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17B70B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0E448BB7">
      <w:pPr>
        <w:keepNext w:val="0"/>
        <w:keepLines w:val="0"/>
        <w:pageBreakBefore w:val="0"/>
        <w:widowControl w:val="0"/>
        <w:kinsoku/>
        <w:wordWrap/>
        <w:overflowPunct/>
        <w:topLinePunct w:val="0"/>
        <w:autoSpaceDE/>
        <w:autoSpaceDN/>
        <w:bidi w:val="0"/>
        <w:adjustRightInd/>
        <w:snapToGrid w:val="0"/>
        <w:spacing w:line="240" w:lineRule="auto"/>
        <w:ind w:left="2200" w:hanging="2200" w:hanging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人全血全基因组甲基化测序和小RNA测序</w:t>
      </w:r>
    </w:p>
    <w:p w14:paraId="420861E1">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14:paraId="684D150E">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 xml:space="preserve">   陆军军医大学某单位</w:t>
      </w:r>
      <w:r>
        <w:rPr>
          <w:rFonts w:hint="eastAsia" w:ascii="Times New Roman" w:hAnsi="Times New Roman" w:eastAsia="方正小标宋简体" w:cs="Times New Roman"/>
          <w:sz w:val="44"/>
          <w:szCs w:val="44"/>
          <w:u w:val="single"/>
          <w:lang w:val="en-US" w:eastAsia="zh-CN"/>
        </w:rPr>
        <w:t xml:space="preserve">             </w:t>
      </w:r>
    </w:p>
    <w:p w14:paraId="633CE1B4">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1ECEF9BB">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1C553A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十</w:t>
      </w:r>
      <w:r>
        <w:rPr>
          <w:rFonts w:hint="eastAsia" w:ascii="Times New Roman" w:hAnsi="Times New Roman" w:eastAsia="方正小标宋简体" w:cs="Times New Roman"/>
          <w:sz w:val="44"/>
          <w:szCs w:val="44"/>
        </w:rPr>
        <w:t>月</w:t>
      </w:r>
    </w:p>
    <w:p w14:paraId="607DCA6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14:paraId="35939BED">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14:paraId="4F508636">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7BBFAF9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14:paraId="0C8B6920">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szCs w:val="28"/>
          <w:u w:val="single"/>
        </w:rPr>
        <w:t>人全血全基因组甲基化测序和小RNA测序</w:t>
      </w:r>
      <w:r>
        <w:rPr>
          <w:rFonts w:hint="eastAsia" w:ascii="仿宋_GB2312" w:hAnsi="仿宋_GB2312" w:eastAsia="仿宋_GB2312" w:cs="仿宋_GB2312"/>
          <w:color w:val="auto"/>
          <w:sz w:val="28"/>
          <w:szCs w:val="28"/>
          <w:u w:val="single"/>
          <w:lang w:val="en-US" w:eastAsia="zh-CN"/>
        </w:rPr>
        <w:t xml:space="preserve">          </w:t>
      </w:r>
    </w:p>
    <w:p w14:paraId="00334FA2">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 xml:space="preserve"> 19万元          </w:t>
      </w:r>
    </w:p>
    <w:p w14:paraId="15230B10">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陆军军医大学某单位          </w:t>
      </w:r>
    </w:p>
    <w:p w14:paraId="1DA685ED">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092F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14:paraId="484FFD74">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184" w:type="pct"/>
            <w:vAlign w:val="top"/>
          </w:tcPr>
          <w:p w14:paraId="405FBCC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66" w:type="pct"/>
            <w:vAlign w:val="top"/>
          </w:tcPr>
          <w:p w14:paraId="5ECB03D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14:paraId="5ED2595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14:paraId="5C20DDF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14:paraId="1C5C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14:paraId="54C7508C">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84" w:type="pct"/>
            <w:vAlign w:val="center"/>
          </w:tcPr>
          <w:p w14:paraId="55BE942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人全血全基因组甲基化测序</w:t>
            </w:r>
          </w:p>
        </w:tc>
        <w:tc>
          <w:tcPr>
            <w:tcW w:w="1666" w:type="pct"/>
            <w:vAlign w:val="center"/>
          </w:tcPr>
          <w:p w14:paraId="2F737D13">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完成25个静脉血样品的高通量测序,构建PE文库,每个样品各产生90G的原始数据</w:t>
            </w:r>
          </w:p>
        </w:tc>
        <w:tc>
          <w:tcPr>
            <w:tcW w:w="833" w:type="pct"/>
            <w:vAlign w:val="center"/>
          </w:tcPr>
          <w:p w14:paraId="6F624F09">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w:t>
            </w:r>
          </w:p>
        </w:tc>
        <w:tc>
          <w:tcPr>
            <w:tcW w:w="836" w:type="pct"/>
            <w:vAlign w:val="center"/>
          </w:tcPr>
          <w:p w14:paraId="2CA8F0BA">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个</w:t>
            </w:r>
          </w:p>
        </w:tc>
      </w:tr>
      <w:tr w14:paraId="3BEB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14:paraId="0071BAD2">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184" w:type="pct"/>
            <w:vAlign w:val="center"/>
          </w:tcPr>
          <w:p w14:paraId="606E6C9B">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人全血小RNA测序</w:t>
            </w:r>
          </w:p>
        </w:tc>
        <w:tc>
          <w:tcPr>
            <w:tcW w:w="1666" w:type="pct"/>
            <w:vAlign w:val="center"/>
          </w:tcPr>
          <w:p w14:paraId="3691F43F">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完成47个静脉血样品的高通量测序，构建PE文库，每个样品各产生1M的原始数据</w:t>
            </w:r>
          </w:p>
        </w:tc>
        <w:tc>
          <w:tcPr>
            <w:tcW w:w="833" w:type="pct"/>
            <w:vAlign w:val="center"/>
          </w:tcPr>
          <w:p w14:paraId="6EEAD8B6">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47</w:t>
            </w:r>
          </w:p>
        </w:tc>
        <w:tc>
          <w:tcPr>
            <w:tcW w:w="836" w:type="pct"/>
            <w:vAlign w:val="center"/>
          </w:tcPr>
          <w:p w14:paraId="2B58520B">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val="en-US" w:eastAsia="zh-CN"/>
              </w:rPr>
              <w:t>个</w:t>
            </w:r>
          </w:p>
        </w:tc>
      </w:tr>
    </w:tbl>
    <w:p w14:paraId="4F506C0A">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14:paraId="0AD8383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14:paraId="2D55912C">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14:paraId="3732C2B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14:paraId="5B1C0D00">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14:paraId="59B5F12D">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14:paraId="4F4F85C0">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14:paraId="394F58B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14:paraId="6E993C7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14:paraId="4BF05832">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14:paraId="561E0C6D">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14:paraId="03CE19CC">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42B9C724">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14:paraId="43C7811D">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7  </w:t>
      </w:r>
      <w:r>
        <w:rPr>
          <w:rFonts w:hint="eastAsia" w:ascii="仿宋_GB2312" w:hAnsi="仿宋_GB2312" w:eastAsia="仿宋_GB2312" w:cs="仿宋_GB2312"/>
          <w:color w:val="auto"/>
          <w:sz w:val="28"/>
          <w:szCs w:val="28"/>
          <w:u w:val="none"/>
          <w:lang w:val="en-US" w:eastAsia="zh-CN"/>
        </w:rPr>
        <w:t>日</w:t>
      </w:r>
    </w:p>
    <w:p w14:paraId="572289F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14:paraId="710BE8DC">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14:paraId="28BF16C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楷体_GB2312" w:hAnsi="楷体_GB2312" w:eastAsia="楷体_GB2312" w:cs="楷体_GB2312"/>
          <w:i w:val="0"/>
          <w:iCs w:val="0"/>
          <w:caps w:val="0"/>
          <w:color w:val="auto"/>
          <w:spacing w:val="0"/>
          <w:sz w:val="28"/>
          <w:szCs w:val="28"/>
          <w:vertAlign w:val="baselin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7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 xml:space="preserve"> 18 </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i w:val="0"/>
          <w:iCs w:val="0"/>
          <w:color w:val="auto"/>
          <w:sz w:val="28"/>
          <w:szCs w:val="28"/>
          <w:u w:val="single"/>
          <w:lang w:val="en-US" w:eastAsia="zh-CN"/>
        </w:rPr>
        <w:t>00</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分</w:t>
      </w:r>
    </w:p>
    <w:p w14:paraId="4AF00ED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（二）报价文件递交要求：签字盖章完善并密封递交，否则其报价将被拒绝。</w:t>
      </w:r>
      <w:bookmarkStart w:id="0" w:name="_GoBack"/>
      <w:bookmarkEnd w:id="0"/>
    </w:p>
    <w:p w14:paraId="0264806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_GB2312" w:hAnsi="仿宋_GB2312" w:eastAsia="楷体_GB2312" w:cs="仿宋_GB2312"/>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w:t>
      </w:r>
      <w:r>
        <w:rPr>
          <w:rFonts w:hint="eastAsia" w:ascii="仿宋_GB2312" w:hAnsi="仿宋_GB2312" w:eastAsia="仿宋_GB2312" w:cs="仿宋_GB2312"/>
          <w:i w:val="0"/>
          <w:iCs w:val="0"/>
          <w:caps w:val="0"/>
          <w:color w:val="auto"/>
          <w:spacing w:val="0"/>
          <w:sz w:val="28"/>
          <w:szCs w:val="28"/>
          <w:lang w:val="en-US" w:eastAsia="zh-CN"/>
        </w:rPr>
        <w:t>重庆市沙坪坝区高滩岩正街30号。</w:t>
      </w:r>
    </w:p>
    <w:p w14:paraId="5AE3FB3C">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14:paraId="3A6B57B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 xml:space="preserve"> 侯老师          </w:t>
      </w:r>
    </w:p>
    <w:p w14:paraId="5830F708">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 xml:space="preserve"> 13668333614          </w:t>
      </w:r>
    </w:p>
    <w:p w14:paraId="12E8AEE3">
      <w:pPr>
        <w:rPr>
          <w:rFonts w:hint="eastAsia" w:ascii="仿宋_GB2312" w:hAnsi="仿宋_GB2312" w:eastAsia="仿宋_GB2312" w:cs="仿宋_GB2312"/>
          <w:color w:val="auto"/>
          <w:sz w:val="28"/>
          <w:szCs w:val="28"/>
          <w:u w:val="single"/>
          <w:lang w:val="en-US" w:eastAsia="zh-CN"/>
        </w:rPr>
      </w:pPr>
    </w:p>
    <w:p w14:paraId="35EC8549">
      <w:pPr>
        <w:pStyle w:val="2"/>
        <w:rPr>
          <w:rFonts w:hint="eastAsia" w:ascii="仿宋_GB2312" w:hAnsi="仿宋_GB2312" w:eastAsia="仿宋_GB2312" w:cs="仿宋_GB2312"/>
          <w:color w:val="auto"/>
          <w:sz w:val="28"/>
          <w:szCs w:val="28"/>
          <w:u w:val="single"/>
          <w:lang w:val="en-US" w:eastAsia="zh-CN"/>
        </w:rPr>
      </w:pPr>
    </w:p>
    <w:p w14:paraId="05DD71D0">
      <w:pPr>
        <w:rPr>
          <w:rFonts w:hint="default"/>
          <w:lang w:val="en-US" w:eastAsia="zh-CN"/>
        </w:rPr>
      </w:pPr>
    </w:p>
    <w:p w14:paraId="21C6124A">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3811EB49">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3EB3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22D93750">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14:paraId="5A6CEC52">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14:paraId="222F972C">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14:paraId="1251967C">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14:paraId="12861F8E">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14:paraId="0792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4A7B1520">
            <w:pPr>
              <w:pStyle w:val="7"/>
              <w:spacing w:line="240" w:lineRule="atLeast"/>
              <w:ind w:firstLine="0"/>
              <w:jc w:val="center"/>
              <w:outlineLvl w:val="0"/>
              <w:rPr>
                <w:rFonts w:hint="eastAsia" w:ascii="Times New Roman" w:hAnsi="Times New Roman" w:cs="Times New Roman" w:eastAsiaTheme="minorEastAsia"/>
                <w:sz w:val="21"/>
                <w:szCs w:val="21"/>
                <w:lang w:eastAsia="zh-CN"/>
              </w:rPr>
            </w:pPr>
            <w:r>
              <w:rPr>
                <w:rFonts w:hint="eastAsia" w:cs="Times New Roman" w:eastAsiaTheme="minorEastAsia"/>
                <w:sz w:val="21"/>
                <w:szCs w:val="21"/>
                <w:lang w:val="en-US" w:eastAsia="zh-CN"/>
              </w:rPr>
              <w:t>1</w:t>
            </w:r>
          </w:p>
        </w:tc>
        <w:tc>
          <w:tcPr>
            <w:tcW w:w="1505" w:type="pct"/>
            <w:vAlign w:val="center"/>
          </w:tcPr>
          <w:p w14:paraId="6FE43BCC">
            <w:pPr>
              <w:pStyle w:val="10"/>
              <w:spacing w:line="240" w:lineRule="atLeast"/>
              <w:ind w:left="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人全血全基因组甲基化测序</w:t>
            </w:r>
          </w:p>
        </w:tc>
        <w:tc>
          <w:tcPr>
            <w:tcW w:w="976" w:type="pct"/>
            <w:vAlign w:val="center"/>
          </w:tcPr>
          <w:p w14:paraId="47CADCDD">
            <w:pPr>
              <w:pStyle w:val="7"/>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个</w:t>
            </w:r>
          </w:p>
        </w:tc>
        <w:tc>
          <w:tcPr>
            <w:tcW w:w="828" w:type="pct"/>
            <w:vAlign w:val="center"/>
          </w:tcPr>
          <w:p w14:paraId="73D6B97B">
            <w:pPr>
              <w:pStyle w:val="7"/>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25</w:t>
            </w:r>
          </w:p>
        </w:tc>
        <w:tc>
          <w:tcPr>
            <w:tcW w:w="1125" w:type="pct"/>
            <w:vAlign w:val="center"/>
          </w:tcPr>
          <w:p w14:paraId="6162CC7C">
            <w:pPr>
              <w:pStyle w:val="7"/>
              <w:spacing w:line="400" w:lineRule="exact"/>
              <w:ind w:firstLine="0"/>
              <w:jc w:val="center"/>
              <w:outlineLvl w:val="0"/>
              <w:rPr>
                <w:rFonts w:ascii="Times New Roman" w:hAnsi="Times New Roman" w:cs="Times New Roman" w:eastAsiaTheme="minorEastAsia"/>
                <w:sz w:val="21"/>
                <w:szCs w:val="21"/>
              </w:rPr>
            </w:pPr>
          </w:p>
        </w:tc>
      </w:tr>
      <w:tr w14:paraId="279D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31030915">
            <w:pPr>
              <w:pStyle w:val="7"/>
              <w:spacing w:line="240" w:lineRule="atLeas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w:t>
            </w:r>
          </w:p>
        </w:tc>
        <w:tc>
          <w:tcPr>
            <w:tcW w:w="1505" w:type="pct"/>
            <w:vAlign w:val="center"/>
          </w:tcPr>
          <w:p w14:paraId="67790F42">
            <w:pPr>
              <w:pStyle w:val="10"/>
              <w:spacing w:line="240" w:lineRule="atLeast"/>
              <w:ind w:left="0"/>
              <w:jc w:val="center"/>
              <w:outlineLvl w:val="0"/>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人全血小RNA测序</w:t>
            </w:r>
          </w:p>
        </w:tc>
        <w:tc>
          <w:tcPr>
            <w:tcW w:w="976" w:type="pct"/>
            <w:vAlign w:val="center"/>
          </w:tcPr>
          <w:p w14:paraId="43621E36">
            <w:pPr>
              <w:pStyle w:val="7"/>
              <w:spacing w:line="400" w:lineRule="exact"/>
              <w:ind w:firstLine="0"/>
              <w:jc w:val="center"/>
              <w:outlineLvl w:val="0"/>
              <w:rPr>
                <w:rFonts w:hint="eastAsia" w:cs="Times New Roman" w:eastAsiaTheme="minorEastAsia"/>
                <w:sz w:val="21"/>
                <w:szCs w:val="21"/>
                <w:lang w:val="en-US" w:eastAsia="zh-CN"/>
              </w:rPr>
            </w:pPr>
            <w:r>
              <w:rPr>
                <w:rFonts w:hint="eastAsia" w:cs="Times New Roman" w:eastAsiaTheme="minorEastAsia"/>
                <w:sz w:val="21"/>
                <w:szCs w:val="21"/>
                <w:lang w:val="en-US" w:eastAsia="zh-CN"/>
              </w:rPr>
              <w:t>个</w:t>
            </w:r>
          </w:p>
        </w:tc>
        <w:tc>
          <w:tcPr>
            <w:tcW w:w="828" w:type="pct"/>
            <w:vAlign w:val="center"/>
          </w:tcPr>
          <w:p w14:paraId="7B0BA467">
            <w:pPr>
              <w:pStyle w:val="7"/>
              <w:spacing w:line="400" w:lineRule="exact"/>
              <w:ind w:firstLine="0"/>
              <w:jc w:val="center"/>
              <w:outlineLvl w:val="0"/>
              <w:rPr>
                <w:rFonts w:hint="default" w:cs="Times New Roman" w:eastAsiaTheme="minorEastAsia"/>
                <w:sz w:val="21"/>
                <w:szCs w:val="21"/>
                <w:lang w:val="en-US" w:eastAsia="zh-CN"/>
              </w:rPr>
            </w:pPr>
            <w:r>
              <w:rPr>
                <w:rFonts w:hint="eastAsia" w:cs="Times New Roman" w:eastAsiaTheme="minorEastAsia"/>
                <w:sz w:val="21"/>
                <w:szCs w:val="21"/>
                <w:lang w:val="en-US" w:eastAsia="zh-CN"/>
              </w:rPr>
              <w:t>47</w:t>
            </w:r>
          </w:p>
        </w:tc>
        <w:tc>
          <w:tcPr>
            <w:tcW w:w="1125" w:type="pct"/>
            <w:vAlign w:val="center"/>
          </w:tcPr>
          <w:p w14:paraId="38371DFC">
            <w:pPr>
              <w:pStyle w:val="7"/>
              <w:spacing w:line="400" w:lineRule="exact"/>
              <w:ind w:firstLine="0"/>
              <w:jc w:val="center"/>
              <w:outlineLvl w:val="0"/>
              <w:rPr>
                <w:rFonts w:ascii="Times New Roman" w:hAnsi="Times New Roman" w:cs="Times New Roman" w:eastAsiaTheme="minorEastAsia"/>
                <w:sz w:val="21"/>
                <w:szCs w:val="21"/>
              </w:rPr>
            </w:pPr>
          </w:p>
        </w:tc>
      </w:tr>
    </w:tbl>
    <w:p w14:paraId="16A8DCC5">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14:paraId="7943F2C3">
      <w:pPr>
        <w:pStyle w:val="2"/>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对于</w:t>
      </w:r>
      <w:r>
        <w:rPr>
          <w:rFonts w:hint="eastAsia" w:ascii="仿宋_GB2312" w:hAnsi="仿宋_GB2312" w:eastAsia="仿宋_GB2312" w:cs="仿宋_GB2312"/>
          <w:lang w:val="en-US" w:eastAsia="zh-CN"/>
        </w:rPr>
        <w:t>全基因组甲基化测序，</w:t>
      </w:r>
      <w:r>
        <w:rPr>
          <w:rFonts w:hint="eastAsia" w:ascii="仿宋_GB2312" w:hAnsi="仿宋_GB2312" w:eastAsia="仿宋_GB2312" w:cs="仿宋_GB2312"/>
          <w:color w:val="auto"/>
        </w:rPr>
        <w:t>完成2</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个静脉血样品的高通量测序，构建PE文库，每个样品各产生90G的原始数据</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对于小RNA测序，完成47个静脉血样品的高通量测序，构建PE文库，每个样品各产生1M的原始数据。</w:t>
      </w:r>
    </w:p>
    <w:p w14:paraId="1FA20DBD">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服务方须对我方样本进行DNA和RNA的提取、纯化，并对DNA和RNA进行质量进行评估，测序前须进行文库构建，测序后进行质检。测序完成获得原始数据后需要续</w:t>
      </w:r>
      <w:r>
        <w:rPr>
          <w:rFonts w:hint="eastAsia" w:ascii="仿宋_GB2312" w:hAnsi="仿宋_GB2312" w:eastAsia="仿宋_GB2312" w:cs="仿宋_GB2312"/>
          <w:lang w:eastAsia="zh-CN"/>
        </w:rPr>
        <w:t>数据质量评估及质控。</w:t>
      </w:r>
    </w:p>
    <w:p w14:paraId="211BDD6E">
      <w:pPr>
        <w:pStyle w:val="2"/>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第三方须对数据进行可视化分析。对于全基因组甲基化测序，需要进行</w:t>
      </w:r>
      <w:r>
        <w:rPr>
          <w:rFonts w:hint="eastAsia" w:ascii="仿宋_GB2312" w:hAnsi="仿宋_GB2312" w:eastAsia="仿宋_GB2312" w:cs="仿宋_GB2312"/>
        </w:rPr>
        <w:t>全基因组比对</w:t>
      </w:r>
      <w:r>
        <w:rPr>
          <w:rFonts w:hint="eastAsia" w:ascii="仿宋_GB2312" w:hAnsi="仿宋_GB2312" w:eastAsia="仿宋_GB2312" w:cs="仿宋_GB2312"/>
          <w:lang w:val="en-US" w:eastAsia="zh-CN"/>
        </w:rPr>
        <w:t>分析，</w:t>
      </w:r>
      <w:r>
        <w:rPr>
          <w:rFonts w:hint="eastAsia" w:ascii="仿宋_GB2312" w:hAnsi="仿宋_GB2312" w:eastAsia="仿宋_GB2312" w:cs="仿宋_GB2312"/>
        </w:rPr>
        <w:t>甲基化位点检测</w:t>
      </w:r>
      <w:r>
        <w:rPr>
          <w:rFonts w:hint="eastAsia" w:ascii="仿宋_GB2312" w:hAnsi="仿宋_GB2312" w:eastAsia="仿宋_GB2312" w:cs="仿宋_GB2312"/>
          <w:lang w:eastAsia="zh-CN"/>
        </w:rPr>
        <w:t>，</w:t>
      </w:r>
      <w:r>
        <w:rPr>
          <w:rFonts w:hint="eastAsia" w:ascii="仿宋_GB2312" w:hAnsi="仿宋_GB2312" w:eastAsia="仿宋_GB2312" w:cs="仿宋_GB2312"/>
        </w:rPr>
        <w:t>样本关系分析</w:t>
      </w:r>
      <w:r>
        <w:rPr>
          <w:rFonts w:hint="eastAsia" w:ascii="仿宋_GB2312" w:hAnsi="仿宋_GB2312" w:eastAsia="仿宋_GB2312" w:cs="仿宋_GB2312"/>
          <w:lang w:eastAsia="zh-CN"/>
        </w:rPr>
        <w:t>，</w:t>
      </w:r>
      <w:r>
        <w:rPr>
          <w:rFonts w:hint="eastAsia" w:ascii="仿宋_GB2312" w:hAnsi="仿宋_GB2312" w:eastAsia="仿宋_GB2312" w:cs="仿宋_GB2312"/>
        </w:rPr>
        <w:t xml:space="preserve"> 差异甲基化位点分析</w:t>
      </w:r>
      <w:r>
        <w:rPr>
          <w:rFonts w:hint="eastAsia" w:ascii="仿宋_GB2312" w:hAnsi="仿宋_GB2312" w:eastAsia="仿宋_GB2312" w:cs="仿宋_GB2312"/>
          <w:lang w:eastAsia="zh-CN"/>
        </w:rPr>
        <w:t>，</w:t>
      </w:r>
      <w:r>
        <w:rPr>
          <w:rFonts w:hint="eastAsia" w:ascii="仿宋_GB2312" w:hAnsi="仿宋_GB2312" w:eastAsia="仿宋_GB2312" w:cs="仿宋_GB2312"/>
        </w:rPr>
        <w:t>关联基因富集分析</w:t>
      </w:r>
      <w:r>
        <w:rPr>
          <w:rFonts w:hint="eastAsia" w:ascii="仿宋_GB2312" w:hAnsi="仿宋_GB2312" w:eastAsia="仿宋_GB2312" w:cs="仿宋_GB2312"/>
          <w:lang w:val="en-US" w:eastAsia="zh-CN"/>
        </w:rPr>
        <w:t>等；对于小RNA测序，须进行miRNA长度分布统计，小RNA序列注释，鉴定已知miRNA及表达量计算，保守miRNA及miRNA family分析，miRNA差异表达分析，样本及表达模式聚类，novel miRNA预测，miRNA靶基因预测，靶基因功能富集分析（包括GO及pathway），miRNA及靶基因网络分析等。</w:t>
      </w:r>
    </w:p>
    <w:p w14:paraId="37304794">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服务方对我方提供的样本要采取必要措施进行保护，避免不必要的样本损失，包括但不限于全流程冷链取送样、使用样本后进行低温存储，避免氧化和污染等。</w:t>
      </w:r>
    </w:p>
    <w:p w14:paraId="2451333E">
      <w:pPr>
        <w:pStyle w:val="2"/>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指派固定的具备相当素质的业务员和技术员进行采购的实施和技术服务，并配合需求单位进行采购。</w:t>
      </w:r>
    </w:p>
    <w:p w14:paraId="10B11873">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编制初步技术服务文件，成果应符合国家的法律、法规、行业规范等相关文件的要求;各项工作深度满足相关评审及审批需要，符合国家相关规范、规定的要求，同时满足项目建设方上报审批的需要。</w:t>
      </w:r>
    </w:p>
    <w:p w14:paraId="5CA0B430">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应对可能遇到的关键技术和难以解决的技术问题做出预估，并提出解决方案和具体措施;就如何保障项目质量和进度，提出具体的方法措施。</w:t>
      </w:r>
    </w:p>
    <w:p w14:paraId="3C1BAB5B">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服务单位应结合项目的实际进度情况并根据建设单位要求，对各阶段的成果质量做出较为详细的描述，详细说明项目各阶段提供的成果文件、数量等。</w:t>
      </w:r>
    </w:p>
    <w:p w14:paraId="6AD6BCFE">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14:paraId="2205534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14:paraId="427743D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ascii="Times New Roman" w:hAnsi="Times New Roman" w:eastAsia="仿宋_GB2312" w:cs="Times New Roman"/>
          <w:szCs w:val="28"/>
        </w:rPr>
        <w:t>1.</w:t>
      </w:r>
      <w:r>
        <w:rPr>
          <w:rFonts w:hint="eastAsia" w:eastAsia="仿宋_GB2312" w:cs="Times New Roman"/>
          <w:szCs w:val="28"/>
          <w:lang w:eastAsia="zh-CN"/>
        </w:rPr>
        <w:t>实施</w:t>
      </w:r>
      <w:r>
        <w:rPr>
          <w:rFonts w:hint="eastAsia" w:ascii="Times New Roman" w:hAnsi="Times New Roman" w:eastAsia="仿宋_GB2312" w:cs="Times New Roman"/>
          <w:szCs w:val="28"/>
        </w:rPr>
        <w:t>时间</w:t>
      </w:r>
      <w:r>
        <w:rPr>
          <w:rFonts w:hint="eastAsia" w:eastAsia="仿宋_GB2312" w:cs="Times New Roman"/>
          <w:szCs w:val="28"/>
          <w:lang w:eastAsia="zh-CN"/>
        </w:rPr>
        <w:t>：</w:t>
      </w:r>
      <w:r>
        <w:rPr>
          <w:rFonts w:hint="eastAsia" w:ascii="Times New Roman" w:hAnsi="Times New Roman" w:eastAsia="仿宋_GB2312" w:cs="Times New Roman"/>
          <w:szCs w:val="28"/>
        </w:rPr>
        <w:t>协议生效后至项目提报采购审批完成</w:t>
      </w:r>
      <w:r>
        <w:rPr>
          <w:rFonts w:hint="eastAsia" w:eastAsia="仿宋_GB2312" w:cs="Times New Roman"/>
          <w:szCs w:val="28"/>
          <w:lang w:eastAsia="zh-CN"/>
        </w:rPr>
        <w:t>。</w:t>
      </w:r>
    </w:p>
    <w:p w14:paraId="2C511C1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ascii="Times New Roman" w:hAnsi="Times New Roman" w:eastAsia="仿宋_GB2312" w:cs="Times New Roman"/>
          <w:szCs w:val="28"/>
        </w:rPr>
        <w:t>2.</w:t>
      </w:r>
      <w:r>
        <w:rPr>
          <w:rFonts w:hint="eastAsia" w:eastAsia="仿宋_GB2312" w:cs="Times New Roman"/>
          <w:szCs w:val="28"/>
          <w:lang w:val="en-US" w:eastAsia="zh-CN"/>
        </w:rPr>
        <w:t>实施</w:t>
      </w:r>
      <w:r>
        <w:rPr>
          <w:rFonts w:hint="eastAsia" w:ascii="Times New Roman" w:hAnsi="Times New Roman" w:eastAsia="仿宋_GB2312" w:cs="Times New Roman"/>
          <w:szCs w:val="28"/>
        </w:rPr>
        <w:t>地点:重庆市</w:t>
      </w:r>
      <w:r>
        <w:rPr>
          <w:rFonts w:hint="eastAsia" w:eastAsia="仿宋_GB2312" w:cs="Times New Roman"/>
          <w:szCs w:val="28"/>
          <w:lang w:val="en-US" w:eastAsia="zh-CN"/>
        </w:rPr>
        <w:t>沙坪坝区高滩岩正街30号</w:t>
      </w:r>
      <w:r>
        <w:rPr>
          <w:rFonts w:hint="eastAsia" w:eastAsia="仿宋_GB2312" w:cs="Times New Roman"/>
          <w:szCs w:val="28"/>
          <w:lang w:eastAsia="zh-CN"/>
        </w:rPr>
        <w:t>。</w:t>
      </w:r>
    </w:p>
    <w:p w14:paraId="6DB1C8A1">
      <w:pPr>
        <w:pStyle w:val="2"/>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3.交货方式:中标人出具设计成果文件。</w:t>
      </w:r>
    </w:p>
    <w:p w14:paraId="17BC34C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14:paraId="2C1EED32">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rPr>
        <w:t>1.免费质量保证期</w:t>
      </w:r>
      <w:r>
        <w:rPr>
          <w:rFonts w:hint="eastAsia" w:eastAsia="仿宋_GB2312" w:cs="Times New Roman"/>
          <w:szCs w:val="28"/>
          <w:lang w:eastAsia="zh-CN"/>
        </w:rPr>
        <w:t>：</w:t>
      </w:r>
      <w:r>
        <w:rPr>
          <w:rFonts w:hint="eastAsia" w:eastAsia="仿宋_GB2312" w:cs="Times New Roman"/>
          <w:szCs w:val="28"/>
          <w:u w:val="none"/>
          <w:lang w:val="en-US" w:eastAsia="zh-CN"/>
        </w:rPr>
        <w:t>一</w:t>
      </w:r>
      <w:r>
        <w:rPr>
          <w:rFonts w:hint="eastAsia" w:eastAsia="仿宋_GB2312" w:cs="Times New Roman"/>
          <w:szCs w:val="28"/>
          <w:lang w:val="en-US" w:eastAsia="zh-CN"/>
        </w:rPr>
        <w:t>年。</w:t>
      </w:r>
    </w:p>
    <w:p w14:paraId="2E26861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default" w:eastAsia="仿宋_GB2312" w:cs="Times New Roman"/>
          <w:szCs w:val="28"/>
          <w:lang w:val="en-US" w:eastAsia="zh-CN"/>
        </w:rPr>
      </w:pPr>
      <w:r>
        <w:rPr>
          <w:rFonts w:hint="eastAsia" w:eastAsia="仿宋_GB2312" w:cs="Times New Roman"/>
          <w:szCs w:val="28"/>
          <w:lang w:val="en-US" w:eastAsia="zh-CN"/>
        </w:rPr>
        <w:t>2.售后技术咨询服务：一年。</w:t>
      </w:r>
    </w:p>
    <w:p w14:paraId="2A6A78B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14:paraId="20E0EB12">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lang w:eastAsia="zh-CN"/>
        </w:rPr>
        <w:t>本项目无预付款，服务完成验收合格后，乙方提供发票等相关资料，提交采购单位办理结算手续，采购单位办理结算手续后按照协议金额的100%付款</w:t>
      </w:r>
      <w:r>
        <w:rPr>
          <w:rFonts w:hint="eastAsia" w:ascii="Times New Roman" w:hAnsi="Times New Roman" w:eastAsia="仿宋_GB2312" w:cs="Times New Roman"/>
          <w:szCs w:val="28"/>
        </w:rPr>
        <w:t>。</w:t>
      </w:r>
    </w:p>
    <w:p w14:paraId="0705520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14:paraId="7DF9C74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i w:val="0"/>
          <w:iCs w:val="0"/>
          <w:caps w:val="0"/>
          <w:color w:val="auto"/>
          <w:spacing w:val="0"/>
          <w:sz w:val="28"/>
          <w:szCs w:val="28"/>
          <w:highlight w:val="none"/>
          <w:vertAlign w:val="baseline"/>
          <w:lang w:eastAsia="zh-CN"/>
        </w:rPr>
      </w:pPr>
      <w:r>
        <w:rPr>
          <w:rFonts w:hint="eastAsia" w:ascii="仿宋_GB2312" w:hAnsi="仿宋_GB2312" w:eastAsia="仿宋_GB2312" w:cs="仿宋_GB2312"/>
          <w:i w:val="0"/>
          <w:iCs w:val="0"/>
          <w:caps w:val="0"/>
          <w:color w:val="auto"/>
          <w:spacing w:val="0"/>
          <w:sz w:val="28"/>
          <w:szCs w:val="28"/>
          <w:highlight w:val="none"/>
          <w:vertAlign w:val="baseline"/>
          <w:lang w:eastAsia="zh-CN"/>
        </w:rPr>
        <w:t>1.</w:t>
      </w:r>
      <w:r>
        <w:rPr>
          <w:rFonts w:hint="eastAsia" w:ascii="仿宋_GB2312" w:hAnsi="仿宋_GB2312" w:eastAsia="仿宋_GB2312" w:cs="仿宋_GB2312"/>
          <w:i w:val="0"/>
          <w:iCs w:val="0"/>
          <w:caps w:val="0"/>
          <w:color w:val="auto"/>
          <w:spacing w:val="0"/>
          <w:sz w:val="28"/>
          <w:szCs w:val="28"/>
          <w:highlight w:val="none"/>
          <w:vertAlign w:val="baseline"/>
          <w:lang w:val="en-US" w:eastAsia="zh-CN"/>
        </w:rPr>
        <w:t>服务</w:t>
      </w:r>
      <w:r>
        <w:rPr>
          <w:rFonts w:hint="eastAsia" w:ascii="仿宋_GB2312" w:hAnsi="仿宋_GB2312" w:eastAsia="仿宋_GB2312" w:cs="仿宋_GB2312"/>
          <w:i w:val="0"/>
          <w:iCs w:val="0"/>
          <w:caps w:val="0"/>
          <w:color w:val="auto"/>
          <w:spacing w:val="0"/>
          <w:sz w:val="28"/>
          <w:szCs w:val="28"/>
          <w:highlight w:val="none"/>
          <w:vertAlign w:val="baseline"/>
          <w:lang w:eastAsia="zh-CN"/>
        </w:rPr>
        <w:t>方应在项目完成时，将本项目所有相关的技术文件，以及设计服务期间所需要制订的</w:t>
      </w:r>
      <w:r>
        <w:rPr>
          <w:rFonts w:hint="eastAsia" w:ascii="仿宋_GB2312" w:hAnsi="仿宋_GB2312" w:eastAsia="仿宋_GB2312" w:cs="仿宋_GB2312"/>
          <w:i w:val="0"/>
          <w:iCs w:val="0"/>
          <w:caps w:val="0"/>
          <w:color w:val="auto"/>
          <w:spacing w:val="0"/>
          <w:sz w:val="28"/>
          <w:szCs w:val="28"/>
          <w:highlight w:val="none"/>
          <w:vertAlign w:val="baseline"/>
          <w:lang w:val="en-US" w:eastAsia="zh-CN"/>
        </w:rPr>
        <w:t>测序技术报告、检验报告、原始数据和分析报告等</w:t>
      </w:r>
      <w:r>
        <w:rPr>
          <w:rFonts w:hint="eastAsia" w:ascii="仿宋_GB2312" w:hAnsi="仿宋_GB2312" w:eastAsia="仿宋_GB2312" w:cs="仿宋_GB2312"/>
          <w:i w:val="0"/>
          <w:iCs w:val="0"/>
          <w:caps w:val="0"/>
          <w:color w:val="auto"/>
          <w:spacing w:val="0"/>
          <w:sz w:val="28"/>
          <w:szCs w:val="28"/>
          <w:highlight w:val="none"/>
          <w:vertAlign w:val="baseline"/>
          <w:lang w:eastAsia="zh-CN"/>
        </w:rPr>
        <w:t>相关</w:t>
      </w:r>
      <w:r>
        <w:rPr>
          <w:rFonts w:hint="eastAsia" w:ascii="仿宋_GB2312" w:hAnsi="仿宋_GB2312" w:eastAsia="仿宋_GB2312" w:cs="仿宋_GB2312"/>
          <w:i w:val="0"/>
          <w:iCs w:val="0"/>
          <w:caps w:val="0"/>
          <w:color w:val="auto"/>
          <w:spacing w:val="0"/>
          <w:sz w:val="28"/>
          <w:szCs w:val="28"/>
          <w:highlight w:val="none"/>
          <w:vertAlign w:val="baseline"/>
          <w:lang w:val="en-US" w:eastAsia="zh-CN"/>
        </w:rPr>
        <w:t>电子</w:t>
      </w:r>
      <w:r>
        <w:rPr>
          <w:rFonts w:hint="eastAsia" w:ascii="仿宋_GB2312" w:hAnsi="仿宋_GB2312" w:eastAsia="仿宋_GB2312" w:cs="仿宋_GB2312"/>
          <w:i w:val="0"/>
          <w:iCs w:val="0"/>
          <w:caps w:val="0"/>
          <w:color w:val="auto"/>
          <w:spacing w:val="0"/>
          <w:sz w:val="28"/>
          <w:szCs w:val="28"/>
          <w:highlight w:val="none"/>
          <w:vertAlign w:val="baseline"/>
          <w:lang w:eastAsia="zh-CN"/>
        </w:rPr>
        <w:t>资料</w:t>
      </w:r>
      <w:r>
        <w:rPr>
          <w:rFonts w:hint="eastAsia" w:ascii="仿宋_GB2312" w:hAnsi="仿宋_GB2312" w:eastAsia="仿宋_GB2312" w:cs="仿宋_GB2312"/>
          <w:i w:val="0"/>
          <w:iCs w:val="0"/>
          <w:caps w:val="0"/>
          <w:color w:val="auto"/>
          <w:spacing w:val="0"/>
          <w:sz w:val="28"/>
          <w:szCs w:val="28"/>
          <w:highlight w:val="none"/>
          <w:vertAlign w:val="baseline"/>
          <w:lang w:val="en-US" w:eastAsia="zh-CN"/>
        </w:rPr>
        <w:t>和</w:t>
      </w:r>
      <w:r>
        <w:rPr>
          <w:rFonts w:hint="eastAsia" w:ascii="仿宋_GB2312" w:hAnsi="仿宋_GB2312" w:eastAsia="仿宋_GB2312" w:cs="仿宋_GB2312"/>
          <w:i w:val="0"/>
          <w:iCs w:val="0"/>
          <w:caps w:val="0"/>
          <w:color w:val="auto"/>
          <w:spacing w:val="0"/>
          <w:sz w:val="28"/>
          <w:szCs w:val="28"/>
          <w:highlight w:val="none"/>
          <w:vertAlign w:val="baseline"/>
          <w:lang w:eastAsia="zh-CN"/>
        </w:rPr>
        <w:t>纸质文件交付采购人;</w:t>
      </w:r>
    </w:p>
    <w:p w14:paraId="21F45DA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i w:val="0"/>
          <w:iCs w:val="0"/>
          <w:caps w:val="0"/>
          <w:color w:val="auto"/>
          <w:spacing w:val="0"/>
          <w:sz w:val="28"/>
          <w:szCs w:val="28"/>
          <w:highlight w:val="none"/>
          <w:vertAlign w:val="baseline"/>
          <w:lang w:eastAsia="zh-CN"/>
        </w:rPr>
      </w:pPr>
      <w:r>
        <w:rPr>
          <w:rFonts w:hint="eastAsia" w:ascii="仿宋_GB2312" w:hAnsi="仿宋_GB2312" w:eastAsia="仿宋_GB2312" w:cs="仿宋_GB2312"/>
          <w:i w:val="0"/>
          <w:iCs w:val="0"/>
          <w:caps w:val="0"/>
          <w:color w:val="auto"/>
          <w:spacing w:val="0"/>
          <w:sz w:val="28"/>
          <w:szCs w:val="28"/>
          <w:highlight w:val="none"/>
          <w:vertAlign w:val="baseline"/>
          <w:lang w:eastAsia="zh-CN"/>
        </w:rPr>
        <w:t>2.项目前期文档的编制必须遵循所确定的内容、要求及基础资料进行编制，设计深度应达到并高于行业内相关标准，能够满足采购人和项目审批主管部门的相关审查要求，并确保所编制的前期文档通过审批。</w:t>
      </w:r>
    </w:p>
    <w:p w14:paraId="4FAEE3A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14:paraId="64A7208C">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09FC2BC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（六）</w:t>
      </w:r>
      <w:r>
        <w:rPr>
          <w:rFonts w:hint="eastAsia" w:ascii="楷体_GB2312" w:hAnsi="楷体_GB2312" w:eastAsia="楷体_GB2312" w:cs="楷体_GB2312"/>
          <w:i w:val="0"/>
          <w:iCs w:val="0"/>
          <w:caps w:val="0"/>
          <w:color w:val="auto"/>
          <w:spacing w:val="0"/>
          <w:sz w:val="28"/>
          <w:szCs w:val="28"/>
          <w:vertAlign w:val="baseline"/>
          <w:lang w:val="en-US" w:eastAsia="zh-CN"/>
        </w:rPr>
        <w:t>保密要求</w:t>
      </w:r>
    </w:p>
    <w:p w14:paraId="75368CFF">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6FE08944">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14:paraId="7B86E1BE">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lang w:eastAsia="zh-CN"/>
        </w:rPr>
        <w:t>本采购项目及其合同订立履行保密信息，包括以手写、打印、软件、磁盘、光盘、胶片、图片、音视频或者其他可读取方式记载的数据信息和文档资料，实行专人管理、专室专柜存放、定期审核销毁，不擅自复制留存。</w:t>
      </w:r>
    </w:p>
    <w:p w14:paraId="4A0520FC">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lang w:eastAsia="zh-CN"/>
        </w:rPr>
        <w:t>不在联接互联网计算机中存储、处理、传递，不通过普通电话、传真、快递等非保密渠道传递本采购项目及其合同订立履行保密信息。</w:t>
      </w:r>
    </w:p>
    <w:p w14:paraId="1922062B">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lang w:eastAsia="zh-CN"/>
        </w:rPr>
        <w:t>不将本采购项目合同订立履行保密信息作为企业业绩进行公开宣传。本合同履行完毕后，仍继续承担与合同履行期间相同的保密义务。在签订本合同前，</w:t>
      </w:r>
      <w:r>
        <w:rPr>
          <w:rFonts w:hint="eastAsia" w:ascii="仿宋_GB2312" w:hAnsi="仿宋_GB2312" w:eastAsia="仿宋_GB2312" w:cs="仿宋_GB2312"/>
          <w:highlight w:val="none"/>
          <w:lang w:val="en-US" w:eastAsia="zh-CN"/>
        </w:rPr>
        <w:t>服务</w:t>
      </w:r>
      <w:r>
        <w:rPr>
          <w:rFonts w:hint="eastAsia" w:ascii="仿宋_GB2312" w:hAnsi="仿宋_GB2312" w:eastAsia="仿宋_GB2312" w:cs="仿宋_GB2312"/>
          <w:highlight w:val="none"/>
          <w:lang w:eastAsia="zh-CN"/>
        </w:rPr>
        <w:t>方已知悉合同履行过程以及合同履行完毕后需要承担的保密义务及其成本，无须甲方另外支付保密相关费用。</w:t>
      </w:r>
    </w:p>
    <w:p w14:paraId="13C6C89B">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highlight w:val="none"/>
          <w:lang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lang w:eastAsia="zh-CN"/>
        </w:rPr>
        <w:t>违反上述承诺，</w:t>
      </w:r>
      <w:r>
        <w:rPr>
          <w:rFonts w:hint="eastAsia" w:ascii="仿宋_GB2312" w:hAnsi="仿宋_GB2312" w:eastAsia="仿宋_GB2312" w:cs="仿宋_GB2312"/>
          <w:highlight w:val="none"/>
          <w:lang w:val="en-US" w:eastAsia="zh-CN"/>
        </w:rPr>
        <w:t>服务方将</w:t>
      </w:r>
      <w:r>
        <w:rPr>
          <w:rFonts w:hint="eastAsia" w:ascii="仿宋_GB2312" w:hAnsi="仿宋_GB2312" w:eastAsia="仿宋_GB2312" w:cs="仿宋_GB2312"/>
          <w:highlight w:val="none"/>
          <w:lang w:eastAsia="zh-CN"/>
        </w:rPr>
        <w:t>承担一切法律责任，赔偿因违反承诺造成的损失，接受军方按照国家和军队有关规定作出的处罚。参与本项目及其合同订立履行的</w:t>
      </w:r>
      <w:r>
        <w:rPr>
          <w:rFonts w:hint="eastAsia" w:ascii="仿宋_GB2312" w:hAnsi="仿宋_GB2312" w:eastAsia="仿宋_GB2312" w:cs="仿宋_GB2312"/>
          <w:highlight w:val="none"/>
          <w:lang w:val="en-US" w:eastAsia="zh-CN"/>
        </w:rPr>
        <w:t>服务方</w:t>
      </w:r>
      <w:r>
        <w:rPr>
          <w:rFonts w:hint="eastAsia" w:ascii="仿宋_GB2312" w:hAnsi="仿宋_GB2312" w:eastAsia="仿宋_GB2312" w:cs="仿宋_GB2312"/>
          <w:highlight w:val="none"/>
          <w:lang w:eastAsia="zh-CN"/>
        </w:rPr>
        <w:t>所属员工发生失密泄密的，由</w:t>
      </w:r>
      <w:r>
        <w:rPr>
          <w:rFonts w:hint="eastAsia" w:ascii="仿宋_GB2312" w:hAnsi="仿宋_GB2312" w:eastAsia="仿宋_GB2312" w:cs="仿宋_GB2312"/>
          <w:highlight w:val="none"/>
          <w:lang w:val="en-US" w:eastAsia="zh-CN"/>
        </w:rPr>
        <w:t>服务方</w:t>
      </w:r>
      <w:r>
        <w:rPr>
          <w:rFonts w:hint="eastAsia" w:ascii="仿宋_GB2312" w:hAnsi="仿宋_GB2312" w:eastAsia="仿宋_GB2312" w:cs="仿宋_GB2312"/>
          <w:highlight w:val="none"/>
          <w:lang w:eastAsia="zh-CN"/>
        </w:rPr>
        <w:t>方承担连带责任。</w:t>
      </w:r>
    </w:p>
    <w:p w14:paraId="4466B203">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14:paraId="764C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BFF9E9B">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14:paraId="40A2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498B8C1">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14:paraId="2AFE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0179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14:paraId="6FF9CB43">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14:paraId="7C0172AE">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14:paraId="7EE08A0A">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14:paraId="0D300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14:paraId="0005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4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A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6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E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1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14:paraId="22EB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3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CE21">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1062">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666A">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B19B">
            <w:pPr>
              <w:jc w:val="center"/>
              <w:rPr>
                <w:rFonts w:hint="eastAsia" w:ascii="宋体" w:hAnsi="宋体" w:eastAsia="宋体" w:cs="宋体"/>
                <w:i w:val="0"/>
                <w:iCs w:val="0"/>
                <w:color w:val="000000"/>
                <w:sz w:val="24"/>
                <w:szCs w:val="24"/>
                <w:u w:val="none"/>
              </w:rPr>
            </w:pPr>
          </w:p>
        </w:tc>
      </w:tr>
      <w:tr w14:paraId="4BEA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0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65AD2">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FE2B">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BBAE">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26E5">
            <w:pPr>
              <w:jc w:val="center"/>
              <w:rPr>
                <w:rFonts w:hint="eastAsia" w:ascii="宋体" w:hAnsi="宋体" w:eastAsia="宋体" w:cs="宋体"/>
                <w:i w:val="0"/>
                <w:iCs w:val="0"/>
                <w:color w:val="000000"/>
                <w:sz w:val="24"/>
                <w:szCs w:val="24"/>
                <w:u w:val="none"/>
              </w:rPr>
            </w:pPr>
          </w:p>
        </w:tc>
      </w:tr>
      <w:tr w14:paraId="205D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A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D8620">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0431">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081E">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CEC1">
            <w:pPr>
              <w:jc w:val="center"/>
              <w:rPr>
                <w:rFonts w:hint="eastAsia" w:ascii="宋体" w:hAnsi="宋体" w:eastAsia="宋体" w:cs="宋体"/>
                <w:i w:val="0"/>
                <w:iCs w:val="0"/>
                <w:color w:val="000000"/>
                <w:sz w:val="24"/>
                <w:szCs w:val="24"/>
                <w:u w:val="none"/>
              </w:rPr>
            </w:pPr>
          </w:p>
        </w:tc>
      </w:tr>
      <w:tr w14:paraId="292D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7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F3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14:paraId="316C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DF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63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14:paraId="0BF1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1D2A62C0">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14:paraId="58ADC0D6">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14:paraId="799B78E2">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14:paraId="5D1E9456">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14:paraId="7224C85D">
            <w:pPr>
              <w:jc w:val="center"/>
              <w:rPr>
                <w:rFonts w:hint="eastAsia" w:ascii="宋体" w:hAnsi="宋体" w:eastAsia="宋体" w:cs="宋体"/>
                <w:i w:val="0"/>
                <w:iCs w:val="0"/>
                <w:color w:val="000000"/>
                <w:sz w:val="24"/>
                <w:szCs w:val="24"/>
                <w:u w:val="none"/>
              </w:rPr>
            </w:pPr>
          </w:p>
        </w:tc>
      </w:tr>
      <w:tr w14:paraId="2FE9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3B65407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2CC9133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14:paraId="4A0EFDC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3633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395C8F36">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6BC42467">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14:paraId="1D477D0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6EBF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3470315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14:paraId="176396B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232C5158">
      <w:pPr>
        <w:widowControl/>
        <w:jc w:val="left"/>
        <w:rPr>
          <w:rFonts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14:paraId="312632BC">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14:paraId="7FEF6290">
      <w:pPr>
        <w:ind w:firstLine="640" w:firstLineChars="200"/>
        <w:rPr>
          <w:rFonts w:ascii="Times New Roman" w:hAnsi="Times New Roman" w:eastAsia="楷体_GB2312" w:cs="Times New Roman"/>
          <w:sz w:val="32"/>
          <w:szCs w:val="32"/>
        </w:rPr>
      </w:pPr>
    </w:p>
    <w:p w14:paraId="78999D2F">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444AE035">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14:paraId="7710CE53">
      <w:pPr>
        <w:ind w:firstLine="640" w:firstLineChars="200"/>
        <w:rPr>
          <w:rFonts w:ascii="Times New Roman" w:hAnsi="Times New Roman" w:eastAsia="楷体_GB2312" w:cs="Times New Roman"/>
          <w:sz w:val="32"/>
          <w:szCs w:val="32"/>
        </w:rPr>
      </w:pPr>
    </w:p>
    <w:p w14:paraId="73D58F0D">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14:paraId="566D9B96">
      <w:pPr>
        <w:ind w:firstLine="640" w:firstLineChars="200"/>
        <w:rPr>
          <w:rFonts w:ascii="Times New Roman" w:hAnsi="Times New Roman" w:eastAsia="仿宋_GB2312" w:cs="Times New Roman"/>
          <w:sz w:val="32"/>
          <w:szCs w:val="32"/>
        </w:rPr>
      </w:pPr>
    </w:p>
    <w:p w14:paraId="425E6500">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14:paraId="612AE154">
      <w:pPr>
        <w:rPr>
          <w:rFonts w:ascii="Times New Roman" w:hAnsi="Times New Roman" w:cs="Times New Roman"/>
          <w:szCs w:val="28"/>
        </w:rPr>
      </w:pPr>
      <w:r>
        <w:rPr>
          <w:rFonts w:ascii="Times New Roman" w:hAnsi="Times New Roman" w:cs="Times New Roman"/>
          <w:sz w:val="24"/>
          <w:szCs w:val="24"/>
        </w:rPr>
        <w:pict>
          <v:shape id="文本框 5" o:spid="_x0000_s2050" o:spt="202" type="#_x0000_t202" style="position:absolute;left:0pt;margin-left:226.9pt;margin-top:10.35pt;height:103.9pt;width:209.1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path/>
            <v:fill focussize="0,0"/>
            <v:stroke dashstyle="dash"/>
            <v:imagedata o:title=""/>
            <o:lock v:ext="edit"/>
            <v:textbox>
              <w:txbxContent>
                <w:p w14:paraId="407FD5DF">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66EE8698">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24"/>
          <w:szCs w:val="24"/>
        </w:rPr>
        <w:pict>
          <v:shape id="文本框 6" o:spid="_x0000_s205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path/>
            <v:fill focussize="0,0"/>
            <v:stroke dashstyle="dash"/>
            <v:imagedata o:title=""/>
            <o:lock v:ext="edit"/>
            <v:textbox>
              <w:txbxContent>
                <w:p w14:paraId="5054D0D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76110B61">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590E1101">
      <w:pPr>
        <w:rPr>
          <w:rFonts w:ascii="Times New Roman" w:hAnsi="Times New Roman" w:cs="Times New Roman"/>
          <w:szCs w:val="28"/>
        </w:rPr>
      </w:pPr>
    </w:p>
    <w:p w14:paraId="2EA55F30">
      <w:pPr>
        <w:rPr>
          <w:rFonts w:ascii="Times New Roman" w:hAnsi="Times New Roman" w:cs="Times New Roman"/>
          <w:szCs w:val="28"/>
        </w:rPr>
      </w:pPr>
    </w:p>
    <w:p w14:paraId="00FBD43D">
      <w:pPr>
        <w:rPr>
          <w:rFonts w:ascii="Times New Roman" w:hAnsi="Times New Roman" w:cs="Times New Roman"/>
          <w:szCs w:val="28"/>
        </w:rPr>
      </w:pPr>
    </w:p>
    <w:p w14:paraId="6657341B">
      <w:pPr>
        <w:rPr>
          <w:rFonts w:ascii="Times New Roman" w:hAnsi="Times New Roman" w:cs="Times New Roman"/>
          <w:szCs w:val="28"/>
        </w:rPr>
      </w:pPr>
    </w:p>
    <w:p w14:paraId="42E0C144">
      <w:pPr>
        <w:rPr>
          <w:rFonts w:ascii="Times New Roman" w:hAnsi="Times New Roman" w:cs="Times New Roman"/>
          <w:kern w:val="0"/>
          <w:szCs w:val="28"/>
        </w:rPr>
      </w:pPr>
    </w:p>
    <w:p w14:paraId="4586FD7D">
      <w:pPr>
        <w:pStyle w:val="2"/>
        <w:rPr>
          <w:rFonts w:ascii="Times New Roman" w:hAnsi="Times New Roman" w:cs="Times New Roman"/>
          <w:kern w:val="0"/>
          <w:szCs w:val="28"/>
        </w:rPr>
      </w:pPr>
    </w:p>
    <w:p w14:paraId="7EDD2899">
      <w:pPr>
        <w:rPr>
          <w:rFonts w:ascii="Times New Roman" w:hAnsi="Times New Roman" w:cs="Times New Roman"/>
          <w:kern w:val="0"/>
          <w:szCs w:val="28"/>
        </w:rPr>
      </w:pPr>
    </w:p>
    <w:p w14:paraId="0257EE09">
      <w:pPr>
        <w:pStyle w:val="2"/>
      </w:pPr>
    </w:p>
    <w:p w14:paraId="47447420">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15BCE8AC">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5AF0CF10">
      <w:pPr>
        <w:ind w:firstLine="5600" w:firstLineChars="1750"/>
        <w:rPr>
          <w:rFonts w:ascii="Times New Roman" w:hAnsi="Times New Roman" w:eastAsia="仿宋_GB2312" w:cs="Times New Roman"/>
          <w:kern w:val="0"/>
          <w:sz w:val="32"/>
          <w:szCs w:val="32"/>
        </w:rPr>
      </w:pPr>
    </w:p>
    <w:p w14:paraId="2D93A03C">
      <w:pPr>
        <w:rPr>
          <w:rFonts w:ascii="Times New Roman" w:hAnsi="Times New Roman" w:cs="Times New Roman"/>
          <w:kern w:val="0"/>
          <w:sz w:val="24"/>
          <w:szCs w:val="24"/>
        </w:rPr>
      </w:pPr>
    </w:p>
    <w:p w14:paraId="2F8CEB59">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auto"/>
          <w:kern w:val="0"/>
        </w:rPr>
        <w:t>注：本页内容适用于法定代表人亲自竞价。</w:t>
      </w:r>
      <w:r>
        <w:rPr>
          <w:rFonts w:ascii="Times New Roman" w:hAnsi="Times New Roman" w:eastAsia="黑体" w:cs="Times New Roman"/>
          <w:kern w:val="0"/>
          <w:szCs w:val="28"/>
        </w:rPr>
        <w:br w:type="page"/>
      </w:r>
    </w:p>
    <w:p w14:paraId="53AB4514">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14:paraId="4DF2DCAB">
      <w:pPr>
        <w:ind w:firstLine="640" w:firstLineChars="200"/>
        <w:rPr>
          <w:rFonts w:ascii="Times New Roman" w:hAnsi="Times New Roman" w:eastAsia="楷体_GB2312" w:cs="Times New Roman"/>
          <w:sz w:val="32"/>
          <w:szCs w:val="32"/>
        </w:rPr>
      </w:pPr>
    </w:p>
    <w:p w14:paraId="3EA37184">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14:paraId="05A55DA3">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5CA91B43">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14:paraId="6A660297">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6D1FB9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14:paraId="64F78BE1">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006F22F2">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21758CCD">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26E8EFA9">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1F09FF6C">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w:pict>
          <v:shape id="文本框 1" o:spid="_x0000_s2052" o:spt="202" type="#_x0000_t202" style="position:absolute;left:0pt;margin-left:228.25pt;margin-top:14.25pt;height:105.95pt;width:210.95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path/>
            <v:fill focussize="0,0"/>
            <v:stroke dashstyle="dash"/>
            <v:imagedata o:title=""/>
            <o:lock v:ext="edit"/>
            <v:textbox>
              <w:txbxContent>
                <w:p w14:paraId="2D7FE8D2">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33F5D1CE">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32"/>
          <w:szCs w:val="32"/>
        </w:rPr>
        <w:pict>
          <v:shape id="文本框 2" o:spid="_x0000_s205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path/>
            <v:fill focussize="0,0"/>
            <v:stroke dashstyle="dash"/>
            <v:imagedata o:title=""/>
            <o:lock v:ext="edit"/>
            <v:textbox>
              <w:txbxContent>
                <w:p w14:paraId="65D15CA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21B8FD4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5003AF14">
      <w:pPr>
        <w:spacing w:line="560" w:lineRule="exact"/>
        <w:ind w:firstLine="573"/>
        <w:rPr>
          <w:rFonts w:ascii="Times New Roman" w:hAnsi="Times New Roman" w:cs="Times New Roman"/>
          <w:kern w:val="0"/>
          <w:sz w:val="24"/>
          <w:szCs w:val="24"/>
        </w:rPr>
      </w:pPr>
    </w:p>
    <w:p w14:paraId="68A65146">
      <w:pPr>
        <w:spacing w:line="560" w:lineRule="exact"/>
        <w:ind w:firstLine="573"/>
        <w:rPr>
          <w:rFonts w:ascii="Times New Roman" w:hAnsi="Times New Roman" w:cs="Times New Roman"/>
          <w:kern w:val="0"/>
          <w:sz w:val="24"/>
          <w:szCs w:val="24"/>
        </w:rPr>
      </w:pPr>
    </w:p>
    <w:p w14:paraId="2D8CDC5D">
      <w:pPr>
        <w:spacing w:line="560" w:lineRule="exact"/>
        <w:ind w:firstLine="573"/>
        <w:rPr>
          <w:rFonts w:ascii="Times New Roman" w:hAnsi="Times New Roman" w:cs="Times New Roman"/>
          <w:kern w:val="0"/>
          <w:sz w:val="24"/>
          <w:szCs w:val="24"/>
        </w:rPr>
      </w:pPr>
    </w:p>
    <w:p w14:paraId="6E7C4DF6">
      <w:pPr>
        <w:spacing w:line="460" w:lineRule="atLeast"/>
        <w:rPr>
          <w:rFonts w:ascii="Times New Roman" w:hAnsi="Times New Roman" w:eastAsia="仿宋" w:cs="Times New Roman"/>
          <w:color w:val="FF0000"/>
          <w:kern w:val="0"/>
        </w:rPr>
      </w:pPr>
    </w:p>
    <w:p w14:paraId="54DB0B05">
      <w:pPr>
        <w:pStyle w:val="2"/>
      </w:pPr>
    </w:p>
    <w:p w14:paraId="7888FECD">
      <w:pPr>
        <w:pStyle w:val="2"/>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97E711-D1F1-4008-9B85-D5BC71F00F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BF84B161-A959-4EC0-A1D5-2DCA42E5748B}"/>
  </w:font>
  <w:font w:name="方正小标宋简体">
    <w:panose1 w:val="02000000000000000000"/>
    <w:charset w:val="86"/>
    <w:family w:val="script"/>
    <w:pitch w:val="default"/>
    <w:sig w:usb0="00000001" w:usb1="080E0000" w:usb2="00000000" w:usb3="00000000" w:csb0="00040000" w:csb1="00000000"/>
    <w:embedRegular r:id="rId3" w:fontKey="{3D06C7D4-3977-49E5-963B-85FF898EFC86}"/>
  </w:font>
  <w:font w:name="方正大标宋简体">
    <w:altName w:val="微软雅黑"/>
    <w:panose1 w:val="03000509000000000000"/>
    <w:charset w:val="86"/>
    <w:family w:val="auto"/>
    <w:pitch w:val="default"/>
    <w:sig w:usb0="00000000" w:usb1="00000000" w:usb2="00000000" w:usb3="00000000" w:csb0="00040000" w:csb1="00000000"/>
    <w:embedRegular r:id="rId4" w:fontKey="{74AFD432-E521-4A34-AB9F-B804A0776338}"/>
  </w:font>
  <w:font w:name="楷体_GB2312">
    <w:panose1 w:val="02010609030101010101"/>
    <w:charset w:val="86"/>
    <w:family w:val="modern"/>
    <w:pitch w:val="default"/>
    <w:sig w:usb0="00000001" w:usb1="080E0000" w:usb2="00000000" w:usb3="00000000" w:csb0="00040000" w:csb1="00000000"/>
    <w:embedRegular r:id="rId5" w:fontKey="{C7C4FC6C-259B-4F84-8FDC-2822B5DCC83F}"/>
  </w:font>
  <w:font w:name="仿宋">
    <w:panose1 w:val="02010609060101010101"/>
    <w:charset w:val="86"/>
    <w:family w:val="modern"/>
    <w:pitch w:val="default"/>
    <w:sig w:usb0="800002BF" w:usb1="38CF7CFA" w:usb2="00000016" w:usb3="00000000" w:csb0="00040001" w:csb1="00000000"/>
    <w:embedRegular r:id="rId6" w:fontKey="{2FD9619F-832E-4664-A102-DFECF459095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F8C8">
    <w:pPr>
      <w:pStyle w:val="13"/>
      <w:jc w:val="center"/>
      <w:rPr>
        <w:sz w:val="24"/>
      </w:rPr>
    </w:pPr>
    <w:r>
      <w:rPr>
        <w:sz w:val="24"/>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A80A615">
                <w:pPr>
                  <w:pStyle w:val="1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80CC">
    <w:pPr>
      <w:pStyle w:val="13"/>
      <w:framePr w:wrap="around" w:vAnchor="text" w:hAnchor="margin" w:xAlign="center" w:y="1"/>
      <w:rPr>
        <w:rStyle w:val="23"/>
      </w:rPr>
    </w:pPr>
    <w:r>
      <w:fldChar w:fldCharType="begin"/>
    </w:r>
    <w:r>
      <w:rPr>
        <w:rStyle w:val="23"/>
      </w:rPr>
      <w:instrText xml:space="preserve">PAGE  </w:instrText>
    </w:r>
    <w:r>
      <w:fldChar w:fldCharType="end"/>
    </w:r>
  </w:p>
  <w:p w14:paraId="6DACBF9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86C1">
    <w:pPr>
      <w:pStyle w:val="13"/>
      <w:jc w:val="both"/>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E2892D8">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p w14:paraId="52E25874">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AC1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927E">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3C1F">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A9C66">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276E8364"/>
    <w:multiLevelType w:val="singleLevel"/>
    <w:tmpl w:val="276E8364"/>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A3N2QwZjAyMzQ3YTM3M2IwY2I2YTQxMjcxOWJlZjI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0C9503A"/>
    <w:rsid w:val="2C245261"/>
    <w:rsid w:val="2E28703E"/>
    <w:rsid w:val="2EED207D"/>
    <w:rsid w:val="30B402AF"/>
    <w:rsid w:val="3104090C"/>
    <w:rsid w:val="334B5059"/>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B03238A"/>
    <w:rsid w:val="5E6E102A"/>
    <w:rsid w:val="63CE19D8"/>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1"/>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2"/>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paragraph" w:styleId="25">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26">
    <w:name w:val="页眉 Char"/>
    <w:basedOn w:val="21"/>
    <w:link w:val="14"/>
    <w:qFormat/>
    <w:uiPriority w:val="0"/>
    <w:rPr>
      <w:sz w:val="18"/>
      <w:szCs w:val="18"/>
    </w:rPr>
  </w:style>
  <w:style w:type="character" w:customStyle="1" w:styleId="27">
    <w:name w:val="页脚 Char"/>
    <w:basedOn w:val="21"/>
    <w:link w:val="13"/>
    <w:qFormat/>
    <w:uiPriority w:val="99"/>
    <w:rPr>
      <w:sz w:val="18"/>
      <w:szCs w:val="18"/>
    </w:rPr>
  </w:style>
  <w:style w:type="character" w:customStyle="1" w:styleId="28">
    <w:name w:val="标题 1 Char"/>
    <w:basedOn w:val="21"/>
    <w:link w:val="4"/>
    <w:qFormat/>
    <w:uiPriority w:val="9"/>
    <w:rPr>
      <w:rFonts w:ascii="Times New Roman" w:hAnsi="Times New Roman" w:eastAsia="宋体" w:cs="Times New Roman"/>
      <w:b/>
      <w:bCs/>
      <w:kern w:val="44"/>
      <w:sz w:val="44"/>
      <w:szCs w:val="44"/>
    </w:rPr>
  </w:style>
  <w:style w:type="character" w:customStyle="1" w:styleId="29">
    <w:name w:val="标题 2 Char"/>
    <w:basedOn w:val="21"/>
    <w:link w:val="5"/>
    <w:qFormat/>
    <w:uiPriority w:val="9"/>
    <w:rPr>
      <w:rFonts w:asciiTheme="majorHAnsi" w:hAnsiTheme="majorHAnsi" w:eastAsiaTheme="majorEastAsia" w:cstheme="majorBidi"/>
      <w:b/>
      <w:bCs/>
      <w:sz w:val="32"/>
      <w:szCs w:val="32"/>
    </w:rPr>
  </w:style>
  <w:style w:type="character" w:customStyle="1" w:styleId="30">
    <w:name w:val="标题 3 Char"/>
    <w:basedOn w:val="21"/>
    <w:link w:val="6"/>
    <w:semiHidden/>
    <w:qFormat/>
    <w:uiPriority w:val="9"/>
    <w:rPr>
      <w:rFonts w:ascii="Times New Roman" w:hAnsi="Times New Roman" w:eastAsia="宋体" w:cs="Times New Roman"/>
      <w:b/>
      <w:bCs/>
      <w:sz w:val="32"/>
      <w:szCs w:val="32"/>
    </w:rPr>
  </w:style>
  <w:style w:type="character" w:customStyle="1" w:styleId="31">
    <w:name w:val="正文文本缩进 Char"/>
    <w:basedOn w:val="21"/>
    <w:link w:val="10"/>
    <w:qFormat/>
    <w:uiPriority w:val="0"/>
    <w:rPr>
      <w:rFonts w:ascii="Times New Roman" w:hAnsi="Times New Roman" w:eastAsia="宋体" w:cs="Times New Roman"/>
      <w:sz w:val="44"/>
      <w:szCs w:val="20"/>
    </w:rPr>
  </w:style>
  <w:style w:type="character" w:customStyle="1" w:styleId="32">
    <w:name w:val="批注框文本 Char"/>
    <w:basedOn w:val="21"/>
    <w:link w:val="12"/>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character" w:customStyle="1" w:styleId="35">
    <w:name w:val="列出段落 Char"/>
    <w:link w:val="25"/>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3050</Words>
  <Characters>3177</Characters>
  <Lines>90</Lines>
  <Paragraphs>25</Paragraphs>
  <TotalTime>1</TotalTime>
  <ScaleCrop>false</ScaleCrop>
  <LinksUpToDate>false</LinksUpToDate>
  <CharactersWithSpaces>3552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Tom Johnson</cp:lastModifiedBy>
  <cp:lastPrinted>2021-08-23T01:01:00Z</cp:lastPrinted>
  <dcterms:modified xsi:type="dcterms:W3CDTF">2024-11-04T11:54:29Z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8F4B10D301344F31B10E54B045C52AF5</vt:lpwstr>
  </property>
</Properties>
</file>